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C6" w:rsidRDefault="0041793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(Ф 21.01 - 03)</w:t>
      </w:r>
    </w:p>
    <w:tbl>
      <w:tblPr>
        <w:tblStyle w:val="a5"/>
        <w:tblW w:w="102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10"/>
        <w:gridCol w:w="2126"/>
        <w:gridCol w:w="5697"/>
      </w:tblGrid>
      <w:tr w:rsidR="00C516C6" w:rsidTr="00EF62A4">
        <w:trPr>
          <w:trHeight w:val="2338"/>
        </w:trPr>
        <w:tc>
          <w:tcPr>
            <w:tcW w:w="2410" w:type="dxa"/>
            <w:vAlign w:val="center"/>
          </w:tcPr>
          <w:p w:rsidR="00C516C6" w:rsidRDefault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5EE59AC3" wp14:editId="296F1218">
                  <wp:extent cx="1478280" cy="66844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184" cy="67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Силабус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навчальної дисципліни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r w:rsidR="00EF62A4">
              <w:rPr>
                <w:b/>
                <w:color w:val="000000"/>
                <w:sz w:val="24"/>
                <w:szCs w:val="24"/>
              </w:rPr>
              <w:t xml:space="preserve">Основи метрології та управління якістю </w:t>
            </w:r>
            <w:proofErr w:type="spellStart"/>
            <w:r w:rsidR="00EF62A4">
              <w:rPr>
                <w:b/>
                <w:color w:val="000000"/>
                <w:sz w:val="24"/>
                <w:szCs w:val="24"/>
              </w:rPr>
              <w:t>радіоінформаційних</w:t>
            </w:r>
            <w:proofErr w:type="spellEnd"/>
            <w:r w:rsidR="00EF62A4">
              <w:rPr>
                <w:b/>
                <w:color w:val="000000"/>
                <w:sz w:val="24"/>
                <w:szCs w:val="24"/>
              </w:rPr>
              <w:t xml:space="preserve"> систем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:rsidR="00C516C6" w:rsidRDefault="00417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Освітньо-професійної програми: «Комп'ютерно-інтегровані </w:t>
            </w:r>
            <w:proofErr w:type="spellStart"/>
            <w:r>
              <w:rPr>
                <w:b/>
                <w:sz w:val="24"/>
                <w:szCs w:val="24"/>
              </w:rPr>
              <w:t>радіоінф</w:t>
            </w:r>
            <w:r w:rsidR="00EF62A4">
              <w:rPr>
                <w:b/>
                <w:sz w:val="24"/>
                <w:szCs w:val="24"/>
              </w:rPr>
              <w:t>ормаційні</w:t>
            </w:r>
            <w:proofErr w:type="spellEnd"/>
            <w:r w:rsidR="00EF62A4">
              <w:rPr>
                <w:b/>
                <w:sz w:val="24"/>
                <w:szCs w:val="24"/>
              </w:rPr>
              <w:t xml:space="preserve"> системи та технології</w:t>
            </w:r>
          </w:p>
          <w:p w:rsidR="00C516C6" w:rsidRDefault="00417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Спеціальність: 172 </w:t>
            </w:r>
            <w:r w:rsidR="00DD627F">
              <w:rPr>
                <w:b/>
                <w:sz w:val="24"/>
                <w:szCs w:val="24"/>
              </w:rPr>
              <w:t xml:space="preserve">Електронні </w:t>
            </w:r>
            <w:r>
              <w:rPr>
                <w:b/>
                <w:sz w:val="24"/>
                <w:szCs w:val="24"/>
              </w:rPr>
              <w:t>комунікації та радіотехніка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Галузь знань: 17 Електроніка та телекомунікації</w:t>
            </w:r>
          </w:p>
        </w:tc>
      </w:tr>
      <w:tr w:rsidR="00C516C6" w:rsidTr="00EF62A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Рівень вищої о світи</w:t>
            </w:r>
          </w:p>
        </w:tc>
        <w:tc>
          <w:tcPr>
            <w:tcW w:w="7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Перший (бакалаврський)</w:t>
            </w:r>
          </w:p>
        </w:tc>
      </w:tr>
      <w:tr w:rsidR="00C516C6" w:rsidTr="00EF62A4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Статус дисципліни</w:t>
            </w:r>
          </w:p>
        </w:tc>
        <w:tc>
          <w:tcPr>
            <w:tcW w:w="7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Навчальна дисципліна вибіркового компонента з циклу вільного вибору студента</w:t>
            </w:r>
          </w:p>
        </w:tc>
      </w:tr>
      <w:tr w:rsidR="00C516C6" w:rsidTr="00EF62A4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 (другий)</w:t>
            </w:r>
          </w:p>
        </w:tc>
      </w:tr>
      <w:tr w:rsidR="00C516C6" w:rsidTr="00EF62A4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7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 (третій)</w:t>
            </w:r>
          </w:p>
        </w:tc>
      </w:tr>
      <w:tr w:rsidR="00C516C6" w:rsidTr="00EF62A4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Обсяг дисципліни, кредити ЄКТС/загальна кількість годин</w:t>
            </w:r>
          </w:p>
        </w:tc>
        <w:tc>
          <w:tcPr>
            <w:tcW w:w="7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4,0 кредитів / 120 годин</w:t>
            </w:r>
          </w:p>
        </w:tc>
      </w:tr>
      <w:tr w:rsidR="00C516C6" w:rsidTr="00EF62A4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Мова викладання</w:t>
            </w:r>
          </w:p>
        </w:tc>
        <w:tc>
          <w:tcPr>
            <w:tcW w:w="7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Українська</w:t>
            </w:r>
          </w:p>
        </w:tc>
      </w:tr>
      <w:tr w:rsidR="00C516C6" w:rsidTr="00EF62A4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Що буде вивчатися (предмет навчання)</w:t>
            </w:r>
          </w:p>
        </w:tc>
        <w:tc>
          <w:tcPr>
            <w:tcW w:w="7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 w:rsidP="00EF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Основні закони і методи проведення досліджень з подальшою обробкою </w:t>
            </w:r>
            <w:r w:rsidR="00EF62A4">
              <w:rPr>
                <w:color w:val="000000"/>
                <w:sz w:val="24"/>
                <w:szCs w:val="24"/>
              </w:rPr>
              <w:t xml:space="preserve">інформації. </w:t>
            </w:r>
            <w:r w:rsidR="00EF62A4">
              <w:rPr>
                <w:color w:val="000000"/>
                <w:sz w:val="24"/>
                <w:szCs w:val="24"/>
                <w:highlight w:val="white"/>
              </w:rPr>
              <w:t xml:space="preserve">Формування навичок оцінювання похибки та </w:t>
            </w:r>
            <w:proofErr w:type="spellStart"/>
            <w:r w:rsidR="00EF62A4">
              <w:rPr>
                <w:color w:val="000000"/>
                <w:sz w:val="24"/>
                <w:szCs w:val="24"/>
                <w:highlight w:val="white"/>
              </w:rPr>
              <w:t>невизначеностей</w:t>
            </w:r>
            <w:proofErr w:type="spellEnd"/>
            <w:r w:rsidR="00EF62A4">
              <w:rPr>
                <w:color w:val="000000"/>
                <w:sz w:val="24"/>
                <w:szCs w:val="24"/>
                <w:highlight w:val="white"/>
              </w:rPr>
              <w:t xml:space="preserve"> вимірювання.</w:t>
            </w:r>
            <w:r w:rsidR="00EF62A4">
              <w:rPr>
                <w:color w:val="000000"/>
                <w:sz w:val="24"/>
                <w:szCs w:val="24"/>
              </w:rPr>
              <w:t xml:space="preserve"> Основи стандартизації. </w:t>
            </w:r>
            <w:r w:rsidR="00EF62A4" w:rsidRPr="00EF62A4">
              <w:rPr>
                <w:color w:val="000000"/>
                <w:sz w:val="24"/>
                <w:szCs w:val="24"/>
              </w:rPr>
              <w:t>Управління якістю продукції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. </w:t>
            </w:r>
            <w:r w:rsidR="00EF62A4" w:rsidRPr="00EF62A4">
              <w:rPr>
                <w:color w:val="000000"/>
                <w:sz w:val="24"/>
                <w:szCs w:val="24"/>
              </w:rPr>
              <w:t>Номенклатура показників якості продукції та їх класифікація</w:t>
            </w:r>
            <w:r w:rsidR="00EF62A4">
              <w:rPr>
                <w:color w:val="000000"/>
                <w:sz w:val="24"/>
                <w:szCs w:val="24"/>
              </w:rPr>
              <w:t xml:space="preserve">. </w:t>
            </w:r>
            <w:r w:rsidR="00EF62A4" w:rsidRPr="00EF62A4">
              <w:rPr>
                <w:color w:val="000000"/>
                <w:sz w:val="24"/>
                <w:szCs w:val="24"/>
              </w:rPr>
              <w:t>Види оцін</w:t>
            </w:r>
            <w:r w:rsidR="00EF62A4">
              <w:rPr>
                <w:color w:val="000000"/>
                <w:sz w:val="24"/>
                <w:szCs w:val="24"/>
              </w:rPr>
              <w:t>юва</w:t>
            </w:r>
            <w:r w:rsidR="00EF62A4" w:rsidRPr="00EF62A4">
              <w:rPr>
                <w:color w:val="000000"/>
                <w:sz w:val="24"/>
                <w:szCs w:val="24"/>
              </w:rPr>
              <w:t>ння якості продукції</w:t>
            </w:r>
            <w:r w:rsidR="00EF62A4">
              <w:rPr>
                <w:color w:val="000000"/>
                <w:sz w:val="24"/>
                <w:szCs w:val="24"/>
              </w:rPr>
              <w:t xml:space="preserve">. </w:t>
            </w:r>
            <w:r w:rsidR="00EF62A4" w:rsidRPr="00EF62A4">
              <w:rPr>
                <w:color w:val="000000"/>
                <w:sz w:val="24"/>
                <w:szCs w:val="24"/>
              </w:rPr>
              <w:t>Управління якістю за державними стандартами</w:t>
            </w:r>
            <w:r w:rsidR="00EF62A4">
              <w:rPr>
                <w:color w:val="000000"/>
                <w:sz w:val="24"/>
                <w:szCs w:val="24"/>
              </w:rPr>
              <w:t xml:space="preserve"> </w:t>
            </w:r>
            <w:r w:rsidR="00EF62A4" w:rsidRPr="00EF62A4">
              <w:rPr>
                <w:color w:val="000000"/>
                <w:sz w:val="24"/>
                <w:szCs w:val="24"/>
              </w:rPr>
              <w:t>ДСТУ ISO 9001-2001 і ДСТУ ISO 9004-2001</w:t>
            </w:r>
            <w:r>
              <w:rPr>
                <w:color w:val="000000"/>
                <w:sz w:val="24"/>
                <w:szCs w:val="24"/>
                <w:highlight w:val="white"/>
              </w:rPr>
              <w:t>.</w:t>
            </w:r>
          </w:p>
        </w:tc>
      </w:tr>
      <w:tr w:rsidR="00C516C6" w:rsidTr="00EF62A4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Чому це цікаво/потрібно вивчати (мета)</w:t>
            </w:r>
          </w:p>
        </w:tc>
        <w:tc>
          <w:tcPr>
            <w:tcW w:w="7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 w:rsidP="00EF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Метою викладання дисципліни є надання студентам базові знання у галузі метрології та </w:t>
            </w:r>
            <w:r w:rsidR="00EF62A4">
              <w:rPr>
                <w:color w:val="000000"/>
                <w:sz w:val="24"/>
                <w:szCs w:val="24"/>
                <w:highlight w:val="white"/>
              </w:rPr>
              <w:t>управління якістю</w:t>
            </w:r>
            <w:r>
              <w:rPr>
                <w:color w:val="000000"/>
                <w:sz w:val="24"/>
                <w:szCs w:val="24"/>
                <w:highlight w:val="white"/>
              </w:rPr>
              <w:t>, сформувати вміння і навички</w:t>
            </w:r>
            <w:r w:rsidR="00EF62A4">
              <w:rPr>
                <w:color w:val="000000"/>
                <w:sz w:val="24"/>
                <w:szCs w:val="24"/>
                <w:highlight w:val="white"/>
              </w:rPr>
              <w:t xml:space="preserve"> проведення вимірювань у галузі телекомунікацій та радіотехніки </w:t>
            </w:r>
            <w:r>
              <w:rPr>
                <w:color w:val="000000"/>
                <w:sz w:val="24"/>
                <w:szCs w:val="24"/>
                <w:highlight w:val="white"/>
              </w:rPr>
              <w:t>.</w:t>
            </w:r>
          </w:p>
        </w:tc>
      </w:tr>
      <w:tr w:rsidR="00C516C6" w:rsidTr="00EF62A4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ПРН1. Описувати принцип дії за допомогою наукових концепцій, теорій та методів та перевіряти результати при проектуванні та застосуванні приладів, пристроїв та систем електроніки.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ПРН2. Застосовувати знання і розуміння диференційного та інтегрального числення, алгебри, функціонального аналізу дійсних і комплексних змінних, векторів та матриць, векторного числення, диференційних рівняння в звичайних та часткових похідних, ряду Фур’є, статистичного аналізу, теорії інформації, чисельних методів для вирішення теоретичних і прикладних задач електроніки.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ПРН12. Використовувати документацію, пов’язану з професійною діяльністю, із застосуванням сучасних технологій та засобів офісного устаткування; використовувати англійську мову, включаючи спеціальну термінологію, для спілкування з фахівцями, проведення літературного пошуку та читання текстів з технічної та фахової тематики.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ПРН13. Вміти засвоювати нові знання, прогресивні технології та інновації, знаходити нові нешаблонні рішення і засоби їх здійснення; відповідати вимогам гнучкості в подоланні перешкод та досягненні мети, раціонального використання та нормування часу, дисциплінованості, відповідальності за свої рішення та діяльність.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ПРН16. Застосовувати розуміння теорії стохастичних процесів, методи статистичної обробки та аналізу даних при розв’язанні професійних завдань.</w:t>
            </w:r>
          </w:p>
        </w:tc>
      </w:tr>
      <w:tr w:rsidR="00C516C6" w:rsidTr="00EF62A4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7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ЗК1. Здатність застосовувати знання у практичних ситуаціях. 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ЗК2. Знання та розуміння предметної області та розуміння професійної діяльності.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ЗК6. Здатність вчитися і оволодівати сучасними знаннями. 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ЗК7. Здатність до пошуку, оброблення та аналізу інформації з різних джерел.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ЗК10. Навички здійснення безпечної діяльності.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ЗК11. Здатність оцінювати та забезпечувати якість виконуваних робіт.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ФК1. Здатність використовувати знання і розуміння наукових фактів, концепцій, теорій, принципів і методів для проектування та застосування приладів, пристроїв та систем електроніки. 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ФК2. Здатність виконувати аналіз предметної області та нормативної документації, необхідної для проектування та застосування приладів, пристроїв та систем електроніки.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ФК5. Здатність застосовувати відповідні математичні, наукові й технічні методи, сучасні інформаційні технології і комп'ютерне програмне забезпечення, навички роботи з комп'ютерними мережами, базами даних та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Інтернетресурсами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для вирішення інженерних задач в галузі електроніки. 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ФК6. Здатність ідентифікувати, класифікувати, оцінювати і описувати процеси у приладах, пристроях та системах електроніки за допомогою аналітичних методів, засобів моделювання, дослідних зразків та результатів експериментальних досліджень.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ФК9. Здатність визначати та оцінювати характеристики та параметри матеріалів електронної техніки, аналогових та цифрових електронних пристроїв для проектування мікропроцесорних та електронних систем.</w:t>
            </w:r>
          </w:p>
        </w:tc>
      </w:tr>
      <w:tr w:rsidR="00C516C6" w:rsidTr="00EF62A4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Навчальна логістика</w:t>
            </w:r>
          </w:p>
        </w:tc>
        <w:tc>
          <w:tcPr>
            <w:tcW w:w="7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Зміст дисципліни: </w:t>
            </w:r>
            <w:r>
              <w:rPr>
                <w:color w:val="000000"/>
                <w:sz w:val="24"/>
                <w:szCs w:val="24"/>
              </w:rPr>
              <w:t xml:space="preserve">Основні поняття з метрології, стандартизації та </w:t>
            </w:r>
            <w:r w:rsidR="00BE6D85">
              <w:rPr>
                <w:color w:val="000000"/>
                <w:sz w:val="24"/>
                <w:szCs w:val="24"/>
              </w:rPr>
              <w:t>управління якістю</w:t>
            </w:r>
            <w:r>
              <w:rPr>
                <w:color w:val="000000"/>
                <w:sz w:val="24"/>
                <w:szCs w:val="24"/>
              </w:rPr>
              <w:t xml:space="preserve">. Методи та види вимірювань. Класифікацію похибок та </w:t>
            </w:r>
            <w:proofErr w:type="spellStart"/>
            <w:r>
              <w:rPr>
                <w:color w:val="000000"/>
                <w:sz w:val="24"/>
                <w:szCs w:val="24"/>
              </w:rPr>
              <w:t>невизнвченності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вимірювання. Методи оцінки похибок вимірювання та методи їх зменшення. Класи точності засобів вимірювальної техніки. Невизначеність вимірювань. Порівняльна оцінка вимірювальних механізмів. Масштабні вимірювальні перетворювачі. Вимірювальні перетворювачі змінного струму. </w:t>
            </w:r>
            <w:r w:rsidR="00BE6D85" w:rsidRPr="00BE6D85">
              <w:rPr>
                <w:color w:val="000000"/>
                <w:sz w:val="24"/>
                <w:szCs w:val="24"/>
              </w:rPr>
              <w:t>Номенклатура показників якості продукції та їх класифікація. Види оцінювання якості продукції. Управління якістю за державними стандартами ДСТУ ISO 9001-2001 і ДСТУ ISO 9004-2001.</w:t>
            </w:r>
            <w:r w:rsidR="00BE6D85">
              <w:rPr>
                <w:color w:val="000000"/>
                <w:sz w:val="24"/>
                <w:szCs w:val="24"/>
              </w:rPr>
              <w:t xml:space="preserve"> </w:t>
            </w:r>
            <w:r w:rsidR="00BE6D85" w:rsidRPr="00BE6D85">
              <w:rPr>
                <w:color w:val="000000"/>
                <w:sz w:val="24"/>
                <w:szCs w:val="24"/>
              </w:rPr>
              <w:t>Політика та цілі у сфері якості</w:t>
            </w:r>
            <w:r w:rsidR="00BE6D85">
              <w:rPr>
                <w:color w:val="000000"/>
                <w:sz w:val="24"/>
                <w:szCs w:val="24"/>
              </w:rPr>
              <w:t xml:space="preserve">. </w:t>
            </w:r>
            <w:r w:rsidR="00BE6D85" w:rsidRPr="00BE6D85">
              <w:rPr>
                <w:color w:val="000000"/>
                <w:sz w:val="24"/>
                <w:szCs w:val="24"/>
              </w:rPr>
              <w:t>Застосування принципів управління якістю</w:t>
            </w:r>
            <w:r w:rsidR="00BE6D85">
              <w:rPr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C516C6" w:rsidRDefault="00C5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Види занять: </w:t>
            </w:r>
            <w:r>
              <w:rPr>
                <w:color w:val="000000"/>
                <w:sz w:val="24"/>
                <w:szCs w:val="24"/>
              </w:rPr>
              <w:t xml:space="preserve">Лекційні та лабораторні. 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Методи навчання: </w:t>
            </w:r>
            <w:proofErr w:type="spellStart"/>
            <w:r>
              <w:rPr>
                <w:color w:val="000000"/>
                <w:sz w:val="24"/>
                <w:szCs w:val="24"/>
              </w:rPr>
              <w:t>студентсько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-орієнтоване навчання, презентації, бесіди та дискусії, робота в </w:t>
            </w:r>
            <w:proofErr w:type="spellStart"/>
            <w:r>
              <w:rPr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Classroom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(електронні лекції, дистанційні консультації, тестування)</w:t>
            </w:r>
          </w:p>
        </w:tc>
      </w:tr>
      <w:tr w:rsidR="00C516C6" w:rsidTr="00EF62A4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Пререквізити</w:t>
            </w:r>
            <w:proofErr w:type="spellEnd"/>
          </w:p>
        </w:tc>
        <w:tc>
          <w:tcPr>
            <w:tcW w:w="7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Базується на таких дисциплінах, як: «Сигнали та процеси в радіотехніці», «Аналогові електронні пристрої», «Цифрові пристрої»</w:t>
            </w:r>
          </w:p>
        </w:tc>
      </w:tr>
      <w:tr w:rsidR="00C516C6" w:rsidTr="00EF62A4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Пореквізити</w:t>
            </w:r>
            <w:proofErr w:type="spellEnd"/>
          </w:p>
        </w:tc>
        <w:tc>
          <w:tcPr>
            <w:tcW w:w="7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 базою таких дисциплін як: «Передавальні та приймальні пристрої та системи», «Системи та комплекси радіомовлення та телебачення»</w:t>
            </w:r>
          </w:p>
        </w:tc>
      </w:tr>
      <w:tr w:rsidR="00C516C6" w:rsidTr="00EF62A4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Інформаційне 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забезпечення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 фонду та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репозитарію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НТБ НАУ</w:t>
            </w:r>
          </w:p>
        </w:tc>
        <w:tc>
          <w:tcPr>
            <w:tcW w:w="7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627F" w:rsidRPr="00DD627F" w:rsidRDefault="00DD627F" w:rsidP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firstLine="182"/>
              <w:jc w:val="both"/>
              <w:rPr>
                <w:color w:val="000000"/>
                <w:sz w:val="24"/>
                <w:szCs w:val="24"/>
              </w:rPr>
            </w:pPr>
            <w:r w:rsidRPr="00DD627F">
              <w:rPr>
                <w:color w:val="000000"/>
                <w:sz w:val="24"/>
                <w:szCs w:val="24"/>
              </w:rPr>
              <w:t xml:space="preserve">1. ДСТУ 2681-94. Метрологія. Терміни та </w:t>
            </w:r>
            <w:proofErr w:type="spellStart"/>
            <w:r w:rsidRPr="00DD627F">
              <w:rPr>
                <w:color w:val="000000"/>
                <w:sz w:val="24"/>
                <w:szCs w:val="24"/>
              </w:rPr>
              <w:t>визначеня</w:t>
            </w:r>
            <w:proofErr w:type="spellEnd"/>
            <w:r w:rsidRPr="00DD627F">
              <w:rPr>
                <w:color w:val="000000"/>
                <w:sz w:val="24"/>
                <w:szCs w:val="24"/>
              </w:rPr>
              <w:t xml:space="preserve">. – К.: </w:t>
            </w:r>
            <w:proofErr w:type="spellStart"/>
            <w:r w:rsidRPr="00DD627F">
              <w:rPr>
                <w:color w:val="000000"/>
                <w:sz w:val="24"/>
                <w:szCs w:val="24"/>
              </w:rPr>
              <w:t>Держст</w:t>
            </w:r>
            <w:proofErr w:type="spellEnd"/>
            <w:r w:rsidRPr="00DD627F">
              <w:rPr>
                <w:color w:val="000000"/>
                <w:sz w:val="24"/>
                <w:szCs w:val="24"/>
              </w:rPr>
              <w:t>. Україна, 1994 р.</w:t>
            </w:r>
          </w:p>
          <w:p w:rsidR="00DD627F" w:rsidRPr="00DD627F" w:rsidRDefault="00DD627F" w:rsidP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firstLine="182"/>
              <w:jc w:val="both"/>
              <w:rPr>
                <w:color w:val="000000"/>
                <w:sz w:val="24"/>
                <w:szCs w:val="24"/>
              </w:rPr>
            </w:pPr>
            <w:r w:rsidRPr="00DD627F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D627F">
              <w:rPr>
                <w:color w:val="000000"/>
                <w:sz w:val="24"/>
                <w:szCs w:val="24"/>
              </w:rPr>
              <w:t>Калинич</w:t>
            </w:r>
            <w:proofErr w:type="spellEnd"/>
            <w:r w:rsidRPr="00DD627F">
              <w:rPr>
                <w:color w:val="000000"/>
                <w:sz w:val="24"/>
                <w:szCs w:val="24"/>
              </w:rPr>
              <w:t xml:space="preserve"> І. В., </w:t>
            </w:r>
            <w:proofErr w:type="spellStart"/>
            <w:r w:rsidRPr="00DD627F">
              <w:rPr>
                <w:color w:val="000000"/>
                <w:sz w:val="24"/>
                <w:szCs w:val="24"/>
              </w:rPr>
              <w:t>Пічкар</w:t>
            </w:r>
            <w:proofErr w:type="spellEnd"/>
            <w:r w:rsidRPr="00DD627F">
              <w:rPr>
                <w:color w:val="000000"/>
                <w:sz w:val="24"/>
                <w:szCs w:val="24"/>
              </w:rPr>
              <w:t xml:space="preserve"> Л.І. Основи стандартизації, сертифікації і метрології. Курс лекцій – Ужгород: 2022, – 76 с.</w:t>
            </w:r>
          </w:p>
          <w:p w:rsidR="00DD627F" w:rsidRPr="00DD627F" w:rsidRDefault="00DD627F" w:rsidP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firstLine="182"/>
              <w:jc w:val="both"/>
              <w:rPr>
                <w:color w:val="000000"/>
                <w:sz w:val="24"/>
                <w:szCs w:val="24"/>
              </w:rPr>
            </w:pPr>
            <w:r w:rsidRPr="00DD627F">
              <w:rPr>
                <w:color w:val="000000"/>
                <w:sz w:val="24"/>
                <w:szCs w:val="24"/>
              </w:rPr>
              <w:t>3. Володарський Є.Т., Кухарчук В.В., та ін. Метрологічне забезпечення вимірювань та контролю: Навчальний посібник. Вінниця: 2020, – 219 с.</w:t>
            </w:r>
          </w:p>
          <w:p w:rsidR="00DD627F" w:rsidRPr="00DD627F" w:rsidRDefault="00DD627F" w:rsidP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firstLine="182"/>
              <w:jc w:val="both"/>
              <w:rPr>
                <w:color w:val="000000"/>
                <w:sz w:val="24"/>
                <w:szCs w:val="24"/>
              </w:rPr>
            </w:pPr>
            <w:r w:rsidRPr="00DD627F">
              <w:rPr>
                <w:color w:val="000000"/>
                <w:sz w:val="24"/>
                <w:szCs w:val="24"/>
              </w:rPr>
              <w:lastRenderedPageBreak/>
              <w:t>.4.</w:t>
            </w:r>
            <w:r w:rsidRPr="00DD627F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DD627F">
              <w:rPr>
                <w:color w:val="000000"/>
                <w:sz w:val="24"/>
                <w:szCs w:val="24"/>
              </w:rPr>
              <w:t>Зюзько</w:t>
            </w:r>
            <w:proofErr w:type="spellEnd"/>
            <w:r w:rsidRPr="00DD627F">
              <w:rPr>
                <w:color w:val="000000"/>
                <w:sz w:val="24"/>
                <w:szCs w:val="24"/>
              </w:rPr>
              <w:t xml:space="preserve"> А.К., Петрова Ю. В., Соколов Г.Є. Метрологія та вимірювальна техніка. Навчальний посібник. – К.: НАУ, 2016.- 182 с.</w:t>
            </w:r>
          </w:p>
          <w:p w:rsidR="00C516C6" w:rsidRDefault="00DD627F" w:rsidP="00DD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firstLine="182"/>
              <w:jc w:val="both"/>
              <w:rPr>
                <w:color w:val="000000"/>
                <w:sz w:val="26"/>
                <w:szCs w:val="26"/>
              </w:rPr>
            </w:pPr>
            <w:r w:rsidRPr="00DD627F">
              <w:rPr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DD627F">
              <w:rPr>
                <w:color w:val="000000"/>
                <w:sz w:val="24"/>
                <w:szCs w:val="24"/>
              </w:rPr>
              <w:t>Коренець</w:t>
            </w:r>
            <w:proofErr w:type="spellEnd"/>
            <w:r w:rsidRPr="00DD627F">
              <w:rPr>
                <w:color w:val="000000"/>
                <w:sz w:val="24"/>
                <w:szCs w:val="24"/>
              </w:rPr>
              <w:t xml:space="preserve">, Ю. М. Стандартизація, сертифікація і метрологія: </w:t>
            </w:r>
            <w:proofErr w:type="spellStart"/>
            <w:r w:rsidRPr="00DD627F">
              <w:rPr>
                <w:color w:val="000000"/>
                <w:sz w:val="24"/>
                <w:szCs w:val="24"/>
              </w:rPr>
              <w:t>навч</w:t>
            </w:r>
            <w:proofErr w:type="spellEnd"/>
            <w:r w:rsidRPr="00DD627F">
              <w:rPr>
                <w:color w:val="000000"/>
                <w:sz w:val="24"/>
                <w:szCs w:val="24"/>
              </w:rPr>
              <w:t>. посібник. – Кривий Ріг: [</w:t>
            </w:r>
            <w:proofErr w:type="spellStart"/>
            <w:r w:rsidRPr="00DD627F">
              <w:rPr>
                <w:color w:val="000000"/>
                <w:sz w:val="24"/>
                <w:szCs w:val="24"/>
              </w:rPr>
              <w:t>ДонНУЕТ</w:t>
            </w:r>
            <w:proofErr w:type="spellEnd"/>
            <w:r w:rsidRPr="00DD627F">
              <w:rPr>
                <w:color w:val="000000"/>
                <w:sz w:val="24"/>
                <w:szCs w:val="24"/>
              </w:rPr>
              <w:t>], 2023. – 90 с.</w:t>
            </w:r>
          </w:p>
        </w:tc>
      </w:tr>
      <w:tr w:rsidR="00C516C6" w:rsidTr="00EF62A4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Локація та матеріально-технічне забезпечення</w:t>
            </w:r>
          </w:p>
        </w:tc>
        <w:tc>
          <w:tcPr>
            <w:tcW w:w="7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3, </w:t>
            </w:r>
            <w:proofErr w:type="spellStart"/>
            <w:r>
              <w:rPr>
                <w:color w:val="000000"/>
                <w:sz w:val="24"/>
                <w:szCs w:val="24"/>
              </w:rPr>
              <w:t>ауд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3/316. 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Лабораторні стенди, проектор, екран</w:t>
            </w:r>
          </w:p>
        </w:tc>
      </w:tr>
      <w:tr w:rsidR="00C516C6" w:rsidTr="00EF62A4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Диференційований залік, модульне тестування.</w:t>
            </w:r>
          </w:p>
        </w:tc>
      </w:tr>
      <w:tr w:rsidR="00C516C6" w:rsidTr="00EF62A4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7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телекомунікаційних та радіоелектронних систем</w:t>
            </w:r>
          </w:p>
        </w:tc>
      </w:tr>
      <w:tr w:rsidR="00C516C6" w:rsidTr="00EF62A4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7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Факультет аеронавігації, електроніки та телекомунікацій</w:t>
            </w:r>
          </w:p>
        </w:tc>
      </w:tr>
      <w:tr w:rsidR="00C516C6" w:rsidTr="00EF62A4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Викладач(і)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171575" cy="1558195"/>
                  <wp:effectExtent l="0" t="0" r="0" b="0"/>
                  <wp:docPr id="3" name="image2.jpg" descr="fotoPetrova коп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fotoPetrova копия"/>
                          <pic:cNvPicPr preferRelativeResize="0"/>
                        </pic:nvPicPr>
                        <pic:blipFill>
                          <a:blip r:embed="rId6"/>
                          <a:srcRect b="4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5581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516C6" w:rsidRDefault="00C5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ПЕТРОВА ЮЛІЯ ВАЛЕРІЇВНА</w:t>
            </w:r>
          </w:p>
          <w:p w:rsidR="00C516C6" w:rsidRDefault="00C5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Посада: </w:t>
            </w:r>
            <w:r>
              <w:rPr>
                <w:color w:val="000000"/>
                <w:sz w:val="24"/>
                <w:szCs w:val="24"/>
              </w:rPr>
              <w:t>доцент кафедри ТКРС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Науковий ступінь: </w:t>
            </w:r>
            <w:r>
              <w:rPr>
                <w:color w:val="000000"/>
                <w:sz w:val="24"/>
                <w:szCs w:val="24"/>
              </w:rPr>
              <w:t>кандидат технічних наук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Вчене звання: </w:t>
            </w:r>
            <w:r>
              <w:rPr>
                <w:color w:val="000000"/>
                <w:sz w:val="24"/>
                <w:szCs w:val="24"/>
              </w:rPr>
              <w:t>доцент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викладача: </w:t>
            </w:r>
            <w:r>
              <w:rPr>
                <w:color w:val="000000"/>
                <w:sz w:val="24"/>
                <w:szCs w:val="24"/>
              </w:rPr>
              <w:t>ww.lib.nau.edu.ua/</w:t>
            </w:r>
            <w:proofErr w:type="spellStart"/>
            <w:r>
              <w:rPr>
                <w:color w:val="000000"/>
                <w:sz w:val="24"/>
                <w:szCs w:val="24"/>
              </w:rPr>
              <w:t>naukpraci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teacher.php?id</w:t>
            </w:r>
            <w:proofErr w:type="spellEnd"/>
            <w:r>
              <w:rPr>
                <w:color w:val="000000"/>
                <w:sz w:val="24"/>
                <w:szCs w:val="24"/>
              </w:rPr>
              <w:t>=10670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.: </w:t>
            </w:r>
            <w:r>
              <w:rPr>
                <w:color w:val="000000"/>
                <w:sz w:val="24"/>
                <w:szCs w:val="24"/>
              </w:rPr>
              <w:t>(044) 406-74-79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yuliia.petrova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@npp.nau.edu.ua</w:t>
            </w:r>
          </w:p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Робоче місце: </w:t>
            </w:r>
            <w:proofErr w:type="spellStart"/>
            <w:r>
              <w:rPr>
                <w:color w:val="000000"/>
                <w:sz w:val="24"/>
                <w:szCs w:val="24"/>
              </w:rPr>
              <w:t>корп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3, </w:t>
            </w:r>
            <w:proofErr w:type="spellStart"/>
            <w:r>
              <w:rPr>
                <w:color w:val="000000"/>
                <w:sz w:val="24"/>
                <w:szCs w:val="24"/>
              </w:rPr>
              <w:t>ауд</w:t>
            </w:r>
            <w:proofErr w:type="spellEnd"/>
            <w:r>
              <w:rPr>
                <w:color w:val="000000"/>
                <w:sz w:val="24"/>
                <w:szCs w:val="24"/>
              </w:rPr>
              <w:t>. 3/308</w:t>
            </w:r>
          </w:p>
        </w:tc>
      </w:tr>
      <w:tr w:rsidR="00C516C6" w:rsidTr="00EF62A4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Авторський курс; оригінальні завдання до лабораторних робіт </w:t>
            </w:r>
          </w:p>
        </w:tc>
      </w:tr>
      <w:tr w:rsidR="00C516C6" w:rsidTr="00EF62A4">
        <w:trPr>
          <w:trHeight w:val="37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Лінк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на дисципліну</w:t>
            </w:r>
          </w:p>
        </w:tc>
        <w:tc>
          <w:tcPr>
            <w:tcW w:w="7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16C6" w:rsidRDefault="00417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Після формування групи слухачів створюється кабінет в </w:t>
            </w:r>
            <w:proofErr w:type="spellStart"/>
            <w:r>
              <w:rPr>
                <w:color w:val="000000"/>
                <w:sz w:val="24"/>
                <w:szCs w:val="24"/>
              </w:rPr>
              <w:t>GoogleClassroom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 необхідними матеріалами для навчання</w:t>
            </w:r>
          </w:p>
        </w:tc>
      </w:tr>
    </w:tbl>
    <w:p w:rsidR="00C516C6" w:rsidRDefault="00C516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516C6" w:rsidRDefault="00C516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516C6" w:rsidRDefault="0041793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Завідувач кафедри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 w:rsidR="00DD627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. </w:t>
      </w:r>
      <w:r w:rsidR="00DD627F">
        <w:rPr>
          <w:color w:val="000000"/>
          <w:sz w:val="28"/>
          <w:szCs w:val="28"/>
        </w:rPr>
        <w:t>Гнатюк</w:t>
      </w:r>
    </w:p>
    <w:p w:rsidR="00C516C6" w:rsidRDefault="00C516C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8"/>
          <w:szCs w:val="28"/>
          <w:highlight w:val="white"/>
        </w:rPr>
      </w:pPr>
    </w:p>
    <w:p w:rsidR="00C516C6" w:rsidRDefault="00C516C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8"/>
          <w:szCs w:val="28"/>
          <w:highlight w:val="white"/>
        </w:rPr>
      </w:pPr>
    </w:p>
    <w:p w:rsidR="00C516C6" w:rsidRDefault="0041793A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8"/>
          <w:szCs w:val="28"/>
          <w:highlight w:val="white"/>
        </w:rPr>
      </w:pPr>
      <w:bookmarkStart w:id="1" w:name="_heading=h.gjdgxs" w:colFirst="0" w:colLast="0"/>
      <w:bookmarkEnd w:id="1"/>
      <w:r>
        <w:rPr>
          <w:color w:val="000000"/>
          <w:sz w:val="28"/>
          <w:szCs w:val="28"/>
          <w:highlight w:val="white"/>
        </w:rPr>
        <w:t>Розробник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  <w:t>Ю. Петрова</w:t>
      </w:r>
    </w:p>
    <w:p w:rsidR="00C516C6" w:rsidRDefault="00C516C6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8"/>
          <w:szCs w:val="28"/>
          <w:highlight w:val="white"/>
        </w:rPr>
      </w:pPr>
    </w:p>
    <w:p w:rsidR="00C516C6" w:rsidRDefault="00C516C6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8"/>
          <w:szCs w:val="28"/>
        </w:rPr>
      </w:pPr>
    </w:p>
    <w:sectPr w:rsidR="00C516C6">
      <w:pgSz w:w="11906" w:h="16838"/>
      <w:pgMar w:top="1134" w:right="567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C6"/>
    <w:rsid w:val="0041793A"/>
    <w:rsid w:val="00953B4A"/>
    <w:rsid w:val="00BE6D85"/>
    <w:rsid w:val="00C516C6"/>
    <w:rsid w:val="00DD627F"/>
    <w:rsid w:val="00E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2E46E"/>
  <w15:docId w15:val="{AC781457-AF5E-4C82-A62D-6E53BB72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FZdrNr25FpR3s1+K6pnY4trAtg==">CgMxLjAyCGguZ2pkZ3hzOAByITFPMVc5TGtSTG13UzdNMUhWNl9RVFMyMTV3eGtSVnd0Tw==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Vitia</dc:creator>
  <cp:lastModifiedBy>Vitia</cp:lastModifiedBy>
  <cp:revision>3</cp:revision>
  <dcterms:created xsi:type="dcterms:W3CDTF">2025-02-06T15:14:00Z</dcterms:created>
  <dcterms:modified xsi:type="dcterms:W3CDTF">2025-02-06T15:17:00Z</dcterms:modified>
</cp:coreProperties>
</file>