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A23" w14:textId="77777777"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 w14:paraId="687084A7" w14:textId="77777777">
        <w:trPr>
          <w:trHeight w:val="2338"/>
        </w:trPr>
        <w:tc>
          <w:tcPr>
            <w:tcW w:w="2484" w:type="dxa"/>
            <w:vAlign w:val="center"/>
          </w:tcPr>
          <w:p w14:paraId="48BD5485" w14:textId="77777777"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827EE1" wp14:editId="604A3D33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4A0F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14:paraId="6305EFD3" w14:textId="730E13BE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B71D54" w:rsidRPr="00B71D54">
              <w:rPr>
                <w:b/>
                <w:bCs/>
                <w:sz w:val="24"/>
              </w:rPr>
              <w:t xml:space="preserve">ОСНОВИ МОДЕЛЮВАННЯ РАДІОІНФОРМАЦІЙНИХ </w:t>
            </w:r>
            <w:r w:rsidR="00B71D54" w:rsidRPr="00B71D54">
              <w:rPr>
                <w:b/>
                <w:bCs/>
                <w:sz w:val="24"/>
              </w:rPr>
              <w:br/>
              <w:t>СИСТЕМ ТА ТЕХНОЛОГІЙ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14E4285D" w14:textId="77777777" w:rsidR="00CA4207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Освітньо-професійної програм</w:t>
            </w:r>
            <w:r w:rsidR="00B725EE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14:paraId="75CE4B57" w14:textId="394B32AF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B725EE" w:rsidRPr="00B725EE">
              <w:rPr>
                <w:b/>
                <w:bCs/>
                <w:color w:val="000000"/>
                <w:sz w:val="24"/>
                <w:szCs w:val="24"/>
              </w:rPr>
              <w:t>Телекомунікаційні системи та мережі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062D32B5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0EFF0507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545A73" w14:paraId="749B473D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F3D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DAD8" w14:textId="357C3558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152B9D">
              <w:rPr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545A73" w14:paraId="53E427FD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E6E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C338" w14:textId="0C2DC96E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445623">
              <w:rPr>
                <w:color w:val="000000"/>
                <w:sz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45A73" w14:paraId="0FBE006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FD48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B454" w14:textId="1C8E0F6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3 (третій)</w:t>
            </w:r>
          </w:p>
        </w:tc>
      </w:tr>
      <w:tr w:rsidR="00545A73" w14:paraId="3F591A7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CC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8EE7" w14:textId="4E056706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5 (п'ятий)</w:t>
            </w:r>
          </w:p>
        </w:tc>
      </w:tr>
      <w:tr w:rsidR="00545A73" w14:paraId="453D52DC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4729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E59C" w14:textId="1065410C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 xml:space="preserve">4 </w:t>
            </w:r>
            <w:r w:rsidRPr="00152B9D">
              <w:rPr>
                <w:sz w:val="24"/>
                <w:shd w:val="clear" w:color="auto" w:fill="FFFFFF"/>
              </w:rPr>
              <w:t>кредит</w:t>
            </w:r>
            <w:r>
              <w:rPr>
                <w:sz w:val="24"/>
                <w:shd w:val="clear" w:color="auto" w:fill="FFFFFF"/>
              </w:rPr>
              <w:t xml:space="preserve">и </w:t>
            </w:r>
            <w:r w:rsidRPr="00152B9D">
              <w:rPr>
                <w:sz w:val="24"/>
                <w:shd w:val="clear" w:color="auto" w:fill="FFFFFF"/>
              </w:rPr>
              <w:t>/</w:t>
            </w:r>
            <w:r>
              <w:rPr>
                <w:sz w:val="24"/>
                <w:shd w:val="clear" w:color="auto" w:fill="FFFFFF"/>
              </w:rPr>
              <w:t xml:space="preserve"> 120</w:t>
            </w:r>
            <w:r w:rsidRPr="00152B9D">
              <w:rPr>
                <w:sz w:val="24"/>
                <w:shd w:val="clear" w:color="auto" w:fill="FFFFFF"/>
              </w:rPr>
              <w:t xml:space="preserve"> годин</w:t>
            </w:r>
          </w:p>
        </w:tc>
      </w:tr>
      <w:tr w:rsidR="00545A73" w14:paraId="30449A7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9CCF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C97B4" w14:textId="3446E0B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Українська</w:t>
            </w:r>
          </w:p>
        </w:tc>
      </w:tr>
      <w:tr w:rsidR="00B71D54" w14:paraId="6791053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013F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B510" w14:textId="1BCD55B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3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hd w:val="clear" w:color="auto" w:fill="FFFFFF"/>
              </w:rPr>
              <w:t>Навчальна дисципліна є теоретичною основою сукупності знань та умінь, що формують профіль фахівця з телекомунікацій та радіотехніки в області моделювання телекомунікаційних та радіоелектронних систем. Предметом навчання є методи математичного моделювання сигналів та завад, а також власне функціональних ланок телекомунікаційних та радіоелектронних систем. Основна увага приділяється формуванню у студента навичок використання інформаційних технологій для вирішення задач моделювання.</w:t>
            </w:r>
          </w:p>
        </w:tc>
      </w:tr>
      <w:tr w:rsidR="00B71D54" w14:paraId="4B58D33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3073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9653" w14:textId="45CD37DD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Метою викладання дисципліни є детальне розкриття основ побудови математичних моделей сигналів, шумів та завад, а також власне пристроїв, систем та комплексів радіотехнічних засобів спостереження, навігації і зв’язку у цивільній авіації на основі застосованих в апаратурі фізичних явищ, електричних схем та особливостей застосування засобів спостереження, навігації і зв’язку.</w:t>
            </w:r>
          </w:p>
        </w:tc>
      </w:tr>
      <w:tr w:rsidR="00B71D54" w14:paraId="495B80D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598C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D4BFD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ПРН01. Знання теорій та методів фундаментальних та </w:t>
            </w:r>
            <w:proofErr w:type="spellStart"/>
            <w:r>
              <w:rPr>
                <w:sz w:val="24"/>
                <w:shd w:val="clear" w:color="auto" w:fill="FFFFFF"/>
              </w:rPr>
              <w:t>загальноінженерних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наук в об’ємі необхідному для розв’язання спеціалізованих задач та практичних проблем у галузі професійної діяльності.</w:t>
            </w:r>
          </w:p>
          <w:p w14:paraId="1148EB86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14:paraId="35803984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ПРН04. Здатність брати участь у створенні прикладного програмного забезпечення для елементів (модулів, блоків, вузлів) телекомунікаційних систем, </w:t>
            </w:r>
            <w:proofErr w:type="spellStart"/>
            <w:r>
              <w:rPr>
                <w:sz w:val="24"/>
                <w:shd w:val="clear" w:color="auto" w:fill="FFFFFF"/>
              </w:rPr>
              <w:t>інфокомунікаційних</w:t>
            </w:r>
            <w:proofErr w:type="spellEnd"/>
            <w:r>
              <w:rPr>
                <w:sz w:val="24"/>
                <w:shd w:val="clear" w:color="auto" w:fill="FFFFFF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132B3B85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ПРН12. Вміння використовувати системи моделювання та автоматизації </w:t>
            </w:r>
            <w:proofErr w:type="spellStart"/>
            <w:r>
              <w:rPr>
                <w:sz w:val="24"/>
                <w:shd w:val="clear" w:color="auto" w:fill="FFFFFF"/>
              </w:rPr>
              <w:t>схемотехнічного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проектування для розроблення елементів, вузлів, блоків радіотехнічних та телекомунікаційних систем.</w:t>
            </w:r>
          </w:p>
          <w:p w14:paraId="7C972A7D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 xml:space="preserve">ПРН16. Вміння використовувати інформаційні технології оброблення даних та прийняття рішень під час </w:t>
            </w:r>
            <w:proofErr w:type="spellStart"/>
            <w:r>
              <w:rPr>
                <w:sz w:val="24"/>
                <w:shd w:val="clear" w:color="auto" w:fill="FFFFFF"/>
              </w:rPr>
              <w:t>проєктування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та експлуатації комп’ютерно-інтегрованих радіоелектронних систем.</w:t>
            </w:r>
          </w:p>
          <w:p w14:paraId="4E46010F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ПРН17. Здатність обґрунтовувати принципи побудови та функціонування комп’ютерно-інтегрованих радіоелектронних систем під час їх </w:t>
            </w:r>
            <w:proofErr w:type="spellStart"/>
            <w:r>
              <w:rPr>
                <w:sz w:val="24"/>
                <w:shd w:val="clear" w:color="auto" w:fill="FFFFFF"/>
              </w:rPr>
              <w:t>проєктування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та експлуатації.</w:t>
            </w:r>
          </w:p>
          <w:p w14:paraId="6EA37BD5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ПРН19. Поглиблені знання щодо функціонування авіаційних комп’ютерно-інтегрованих засобів радіотехнічного забезпечення польотів.</w:t>
            </w:r>
          </w:p>
          <w:p w14:paraId="161F49B6" w14:textId="10D27CFD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ПРН20. Здатність здійснювати оцінку ефективності основних процесів експлуатації комп’ютерно-інтегрованих радіоелектронних систем.</w:t>
            </w:r>
          </w:p>
        </w:tc>
      </w:tr>
      <w:tr w:rsidR="00B71D54" w14:paraId="1BDE8E7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9B03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58A0D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ЗК1. Здатність до абстрактного мислення, аналізу та синтезу.</w:t>
            </w:r>
          </w:p>
          <w:p w14:paraId="011DE892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ЗК2. Здатність застосовувати знання у практичних ситуаціях.</w:t>
            </w:r>
          </w:p>
          <w:p w14:paraId="736FE654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ЗК3. Здатність планувати та управляти часом. </w:t>
            </w:r>
          </w:p>
          <w:p w14:paraId="26E414B0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ЗК4. Знання та розуміння предметної області та розуміння професійної діяльності.</w:t>
            </w:r>
          </w:p>
          <w:p w14:paraId="16FA5FCF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ЗК5. Здатність спілкуватися державною мовою як усно, так і письмово.</w:t>
            </w:r>
          </w:p>
          <w:p w14:paraId="1E3A40B3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ЗК7. Здатність вчитися і оволодівати сучасними знаннями.</w:t>
            </w:r>
          </w:p>
          <w:p w14:paraId="3BD0C4DB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ЗК8. Вміння виявляти, ставити та вирішувати проблеми.</w:t>
            </w:r>
          </w:p>
          <w:p w14:paraId="531CD761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ЗК13. Здатність здійснювати пошук та аналізувати інформацію з різних джерел.</w:t>
            </w:r>
          </w:p>
          <w:p w14:paraId="147F8B91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ЗК14. Здатність спілкуватися іноземною мовою (іноземними мовами) у професійній діяльності, зокрема читати фахову літературу іноземною мовою (іноземними мовами).</w:t>
            </w:r>
          </w:p>
          <w:p w14:paraId="7C19FFA8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ЗК15. Здатність використання інформаційних і комунікаційних технологій.</w:t>
            </w:r>
          </w:p>
          <w:p w14:paraId="0C71C2E6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ФК2. 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безпеки.</w:t>
            </w:r>
          </w:p>
          <w:p w14:paraId="034EB691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ФК3. Здатність використовувати базові методи, способи та засоби отримання, передавання, обробки та зберігання інформації.</w:t>
            </w:r>
          </w:p>
          <w:p w14:paraId="7DBE9750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ФК4. Здатність здійснювати комп'ютерне моделювання пристроїв, систем і процесів з використанням універсальних пакетів прикладних програм.</w:t>
            </w:r>
          </w:p>
          <w:p w14:paraId="13BFD293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ФК8. Готовність сприяти впровадженню перспективних технологій і стандартів. </w:t>
            </w:r>
          </w:p>
          <w:p w14:paraId="40FE1B35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ФК16. Здатність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систем. </w:t>
            </w:r>
          </w:p>
          <w:p w14:paraId="6F6696DE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ФК17. Здатність брати участь у створенні прикладного програмного забезпечення для елементів (модулів, блоків, вузлів) радіотехнічних та телекомунікаційних систем. </w:t>
            </w:r>
          </w:p>
          <w:p w14:paraId="14D71F75" w14:textId="4DB6C1F3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ФК18. Здатність оцінювати ефективність експлуатації засобів радіотехнічного обслуговування польотів.</w:t>
            </w:r>
          </w:p>
        </w:tc>
      </w:tr>
      <w:tr w:rsidR="00B71D54" w14:paraId="2DE7BEB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3A16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A6539" w14:textId="25830AE4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 xml:space="preserve">Зміст дисципліни: </w:t>
            </w:r>
            <w:r w:rsidR="00CA4207" w:rsidRPr="00C70D79">
              <w:rPr>
                <w:sz w:val="24"/>
                <w:shd w:val="clear" w:color="auto" w:fill="FFFFFF"/>
              </w:rPr>
              <w:t>Задачі та методи моделювання</w:t>
            </w:r>
            <w:r w:rsidR="00CA4207" w:rsidRPr="00120277">
              <w:rPr>
                <w:sz w:val="24"/>
                <w:shd w:val="clear" w:color="auto" w:fill="FFFFFF"/>
              </w:rPr>
              <w:t xml:space="preserve">. </w:t>
            </w:r>
            <w:r w:rsidR="00CA4207">
              <w:rPr>
                <w:sz w:val="24"/>
                <w:shd w:val="clear" w:color="auto" w:fill="FFFFFF"/>
              </w:rPr>
              <w:t>Основі закони та теореми теорії ймовірності. Характеристики випадкових величин. Статистичні моделі сигналів та завад.</w:t>
            </w:r>
            <w:r w:rsidR="00CA4207" w:rsidRPr="00120277">
              <w:rPr>
                <w:sz w:val="24"/>
                <w:shd w:val="clear" w:color="auto" w:fill="FFFFFF"/>
              </w:rPr>
              <w:t xml:space="preserve"> </w:t>
            </w:r>
            <w:r w:rsidR="00CA4207">
              <w:rPr>
                <w:sz w:val="24"/>
                <w:shd w:val="clear" w:color="auto" w:fill="FFFFFF"/>
              </w:rPr>
              <w:t xml:space="preserve">Проходження випадкових сигналів та завад через радіотехнічні ланки. Функціональні перетворення випадкових процесів. Виявлення сигналів. Оцінювання параметрів. Фільтрація. Фільтр </w:t>
            </w:r>
            <w:proofErr w:type="spellStart"/>
            <w:r w:rsidR="00CA4207">
              <w:rPr>
                <w:sz w:val="24"/>
                <w:shd w:val="clear" w:color="auto" w:fill="FFFFFF"/>
              </w:rPr>
              <w:t>Калмана</w:t>
            </w:r>
            <w:proofErr w:type="spellEnd"/>
            <w:r>
              <w:rPr>
                <w:sz w:val="24"/>
                <w:shd w:val="clear" w:color="auto" w:fill="FFFFFF"/>
              </w:rPr>
              <w:t>.</w:t>
            </w:r>
          </w:p>
          <w:p w14:paraId="3B5A0177" w14:textId="77777777" w:rsidR="00B71D54" w:rsidRDefault="00B71D54" w:rsidP="00B71D54">
            <w:pPr>
              <w:ind w:left="130" w:right="140"/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Види занять: </w:t>
            </w:r>
            <w:r>
              <w:rPr>
                <w:bCs/>
                <w:sz w:val="24"/>
              </w:rPr>
              <w:t xml:space="preserve">Лекційні та лабораторні. </w:t>
            </w:r>
          </w:p>
          <w:p w14:paraId="23E1F103" w14:textId="06F71032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Методи навчання: </w:t>
            </w:r>
            <w:proofErr w:type="spellStart"/>
            <w:r>
              <w:rPr>
                <w:sz w:val="24"/>
              </w:rPr>
              <w:t>студентсько</w:t>
            </w:r>
            <w:proofErr w:type="spellEnd"/>
            <w:r>
              <w:rPr>
                <w:sz w:val="24"/>
              </w:rPr>
              <w:t>-орієнтоване навчання, презентації, бесіди та дискусії</w:t>
            </w:r>
          </w:p>
        </w:tc>
      </w:tr>
      <w:tr w:rsidR="00B71D54" w14:paraId="77EAB3A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E014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Пререквізити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386E" w14:textId="3E4510FE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Базується на таких дисциплінах, як: «Вища математика», «Основи інформатики, програмування та інформаційних технологій», «Основи електроніки та схемотехніки», «Основи теорії електричних кіл», «Теорія інформації, сигнали та процеси в телекомунікаціях та радіотехніці», «Теорія кодування в телекомунікаціях та радіотехніці»</w:t>
            </w:r>
          </w:p>
        </w:tc>
      </w:tr>
      <w:tr w:rsidR="00B71D54" w14:paraId="510B822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A9923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17F41" w14:textId="5DAEACB0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Є базою таких дисциплін як: «Інтелектуальні системи та технології прийняття рішень у телекомунікаціях та радіотехніці», «Конструювання та комп’ютерне проектування </w:t>
            </w:r>
            <w:proofErr w:type="spellStart"/>
            <w:r>
              <w:rPr>
                <w:sz w:val="24"/>
              </w:rPr>
              <w:t>радіоінформаційних</w:t>
            </w:r>
            <w:proofErr w:type="spellEnd"/>
            <w:r>
              <w:rPr>
                <w:sz w:val="24"/>
              </w:rPr>
              <w:t xml:space="preserve"> систем», «Цифрове оброблення сигналів у </w:t>
            </w:r>
            <w:proofErr w:type="spellStart"/>
            <w:r>
              <w:rPr>
                <w:sz w:val="24"/>
              </w:rPr>
              <w:t>радіоінформаційних</w:t>
            </w:r>
            <w:proofErr w:type="spellEnd"/>
            <w:r>
              <w:rPr>
                <w:sz w:val="24"/>
              </w:rPr>
              <w:t xml:space="preserve"> системах».</w:t>
            </w:r>
          </w:p>
        </w:tc>
      </w:tr>
      <w:tr w:rsidR="00B71D54" w14:paraId="2A5D1A9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1DEE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041F0E5A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367652D6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6DE3E" w14:textId="77777777" w:rsidR="00B71D54" w:rsidRDefault="00B71D54" w:rsidP="00B71D54">
            <w:pPr>
              <w:ind w:left="130" w:right="1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proofErr w:type="spellStart"/>
            <w:r>
              <w:rPr>
                <w:sz w:val="24"/>
                <w:lang w:val="ru-RU"/>
              </w:rPr>
              <w:t>Методи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математичного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моделювання</w:t>
            </w:r>
            <w:proofErr w:type="spellEnd"/>
            <w:r>
              <w:rPr>
                <w:sz w:val="24"/>
                <w:lang w:val="ru-RU"/>
              </w:rPr>
              <w:t xml:space="preserve">: </w:t>
            </w:r>
            <w:proofErr w:type="spellStart"/>
            <w:r>
              <w:rPr>
                <w:sz w:val="24"/>
                <w:lang w:val="ru-RU"/>
              </w:rPr>
              <w:t>Методичні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рекомендації</w:t>
            </w:r>
            <w:proofErr w:type="spellEnd"/>
            <w:r>
              <w:rPr>
                <w:sz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lang w:val="ru-RU"/>
              </w:rPr>
              <w:t>виконання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лабораторних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робіт</w:t>
            </w:r>
            <w:proofErr w:type="spellEnd"/>
            <w:r>
              <w:rPr>
                <w:sz w:val="24"/>
                <w:lang w:val="ru-RU"/>
              </w:rPr>
              <w:t xml:space="preserve"> / </w:t>
            </w:r>
            <w:proofErr w:type="spellStart"/>
            <w:r>
              <w:rPr>
                <w:sz w:val="24"/>
                <w:lang w:val="ru-RU"/>
              </w:rPr>
              <w:t>Укладачі</w:t>
            </w:r>
            <w:proofErr w:type="spellEnd"/>
            <w:r>
              <w:rPr>
                <w:sz w:val="24"/>
                <w:lang w:val="ru-RU"/>
              </w:rPr>
              <w:t xml:space="preserve"> І.Г. Прокопенко, </w:t>
            </w:r>
            <w:proofErr w:type="spellStart"/>
            <w:r>
              <w:rPr>
                <w:sz w:val="24"/>
                <w:lang w:val="ru-RU"/>
              </w:rPr>
              <w:t>О.О.Семенов</w:t>
            </w:r>
            <w:proofErr w:type="spellEnd"/>
            <w:r>
              <w:rPr>
                <w:sz w:val="24"/>
                <w:lang w:val="ru-RU"/>
              </w:rPr>
              <w:t xml:space="preserve">. – К.: НАУ, 2007. – 62 с. </w:t>
            </w:r>
          </w:p>
          <w:p w14:paraId="08D339CD" w14:textId="294AC08C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  <w:lang w:val="ru-RU"/>
              </w:rPr>
              <w:t xml:space="preserve">2. Стеценко І.В. </w:t>
            </w:r>
            <w:proofErr w:type="spellStart"/>
            <w:r>
              <w:rPr>
                <w:sz w:val="24"/>
                <w:lang w:val="ru-RU"/>
              </w:rPr>
              <w:t>Моделювання</w:t>
            </w:r>
            <w:proofErr w:type="spellEnd"/>
            <w:r>
              <w:rPr>
                <w:sz w:val="24"/>
                <w:lang w:val="ru-RU"/>
              </w:rPr>
              <w:t xml:space="preserve"> систем: </w:t>
            </w:r>
            <w:proofErr w:type="spellStart"/>
            <w:r>
              <w:rPr>
                <w:sz w:val="24"/>
                <w:lang w:val="ru-RU"/>
              </w:rPr>
              <w:t>навч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посіб</w:t>
            </w:r>
            <w:proofErr w:type="spellEnd"/>
            <w:r>
              <w:rPr>
                <w:sz w:val="24"/>
                <w:lang w:val="ru-RU"/>
              </w:rPr>
              <w:t xml:space="preserve">.  – </w:t>
            </w:r>
            <w:proofErr w:type="spellStart"/>
            <w:proofErr w:type="gramStart"/>
            <w:r>
              <w:rPr>
                <w:sz w:val="24"/>
                <w:lang w:val="ru-RU"/>
              </w:rPr>
              <w:t>Черкаси</w:t>
            </w:r>
            <w:proofErr w:type="spellEnd"/>
            <w:r>
              <w:rPr>
                <w:sz w:val="24"/>
                <w:lang w:val="ru-RU"/>
              </w:rPr>
              <w:t xml:space="preserve"> :</w:t>
            </w:r>
            <w:proofErr w:type="gramEnd"/>
            <w:r>
              <w:rPr>
                <w:sz w:val="24"/>
                <w:lang w:val="ru-RU"/>
              </w:rPr>
              <w:t xml:space="preserve"> ЧДТУ, 2020. – 399 с.</w:t>
            </w:r>
          </w:p>
        </w:tc>
      </w:tr>
      <w:tr w:rsidR="00B71D54" w14:paraId="5B1677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86F1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A865A" w14:textId="77777777" w:rsidR="00B71D54" w:rsidRDefault="00B71D54" w:rsidP="00B71D54">
            <w:pPr>
              <w:ind w:left="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Корп</w:t>
            </w:r>
            <w:proofErr w:type="spellEnd"/>
            <w:r>
              <w:rPr>
                <w:sz w:val="24"/>
              </w:rPr>
              <w:t xml:space="preserve">. 3,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. 3/114, 3/302. </w:t>
            </w:r>
          </w:p>
          <w:p w14:paraId="5FAF171C" w14:textId="3DF0F95F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>Комп'ютери зі спеціалізованими програмами, проектор, екран</w:t>
            </w:r>
          </w:p>
        </w:tc>
      </w:tr>
      <w:tr w:rsidR="00B71D54" w14:paraId="090A73E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B2ED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BE2D8" w14:textId="48A59FBB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Диференційовий</w:t>
            </w:r>
            <w:proofErr w:type="spellEnd"/>
            <w:r>
              <w:rPr>
                <w:sz w:val="24"/>
              </w:rPr>
              <w:t xml:space="preserve"> залік, тестування</w:t>
            </w:r>
          </w:p>
        </w:tc>
      </w:tr>
      <w:tr w:rsidR="00B71D54" w14:paraId="6457EA0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386E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CEEA" w14:textId="7CEEC790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Кафедра телекомунікаційних та радіоелектронних систем</w:t>
            </w:r>
          </w:p>
        </w:tc>
      </w:tr>
      <w:tr w:rsidR="00B71D54" w14:paraId="7DA3413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0F74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8BFC" w14:textId="7024F2AF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Факультет аеронавігації, електроніки та телекомунікацій</w:t>
            </w:r>
          </w:p>
        </w:tc>
      </w:tr>
      <w:tr w:rsidR="00545A73" w14:paraId="1965601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41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753" w:type="dxa"/>
              <w:tblBorders>
                <w:insideH w:val="single" w:sz="18" w:space="0" w:color="FFFFFF"/>
                <w:insideV w:val="single" w:sz="18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55"/>
              <w:gridCol w:w="5398"/>
            </w:tblGrid>
            <w:tr w:rsidR="00545A73" w:rsidRPr="007D1479" w14:paraId="179576FE" w14:textId="77777777" w:rsidTr="00EF4DB7">
              <w:tc>
                <w:tcPr>
                  <w:tcW w:w="2355" w:type="dxa"/>
                  <w:shd w:val="clear" w:color="auto" w:fill="FFFFFF"/>
                </w:tcPr>
                <w:p w14:paraId="0E47B7C2" w14:textId="77777777" w:rsidR="00545A73" w:rsidRPr="007D1479" w:rsidRDefault="00B725EE" w:rsidP="00545A73">
                  <w:pPr>
                    <w:rPr>
                      <w:b/>
                      <w:bCs/>
                      <w:color w:val="000000"/>
                      <w:sz w:val="24"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bCs/>
                      <w:sz w:val="24"/>
                    </w:rPr>
                    <w:pict w14:anchorId="5CB106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116.25pt">
                        <v:imagedata r:id="rId6" o:title="1"/>
                      </v:shape>
                    </w:pict>
                  </w:r>
                </w:p>
              </w:tc>
              <w:tc>
                <w:tcPr>
                  <w:tcW w:w="5398" w:type="dxa"/>
                  <w:shd w:val="clear" w:color="auto" w:fill="FFFFFF"/>
                </w:tcPr>
                <w:p w14:paraId="70615029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ЗАЛІСЬКИЙ МАКСИМ ЮРІЙОВИЧ</w:t>
                  </w:r>
                </w:p>
                <w:p w14:paraId="604D280F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Посада: </w:t>
                  </w:r>
                  <w:r>
                    <w:rPr>
                      <w:bCs/>
                      <w:sz w:val="24"/>
                    </w:rPr>
                    <w:t>професор</w:t>
                  </w:r>
                  <w:r w:rsidRPr="00055574">
                    <w:rPr>
                      <w:bCs/>
                      <w:sz w:val="24"/>
                    </w:rPr>
                    <w:t xml:space="preserve"> кафедри ТКРС</w:t>
                  </w:r>
                </w:p>
                <w:p w14:paraId="0B06A856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Науковий ступінь: </w:t>
                  </w:r>
                  <w:r w:rsidRPr="00055574">
                    <w:rPr>
                      <w:bCs/>
                      <w:sz w:val="24"/>
                    </w:rPr>
                    <w:t>доктор технічних наук</w:t>
                  </w:r>
                </w:p>
                <w:p w14:paraId="19749967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Вчене звання: </w:t>
                  </w:r>
                  <w:r>
                    <w:rPr>
                      <w:bCs/>
                      <w:sz w:val="24"/>
                    </w:rPr>
                    <w:t>професор</w:t>
                  </w:r>
                </w:p>
                <w:p w14:paraId="292DB3B3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  <w:lang w:val="ru-RU"/>
                    </w:rPr>
                  </w:pPr>
                  <w:proofErr w:type="spellStart"/>
                  <w:r w:rsidRPr="007D1479">
                    <w:rPr>
                      <w:b/>
                      <w:bCs/>
                      <w:sz w:val="24"/>
                    </w:rPr>
                    <w:t>Профайл</w:t>
                  </w:r>
                  <w:proofErr w:type="spellEnd"/>
                  <w:r w:rsidRPr="007D1479">
                    <w:rPr>
                      <w:b/>
                      <w:bCs/>
                      <w:sz w:val="24"/>
                    </w:rPr>
                    <w:t xml:space="preserve"> викладача:</w:t>
                  </w:r>
                  <w:r w:rsidRPr="007D1479">
                    <w:rPr>
                      <w:b/>
                      <w:bCs/>
                      <w:sz w:val="24"/>
                      <w:lang w:val="ru-RU"/>
                    </w:rPr>
                    <w:t xml:space="preserve"> </w:t>
                  </w:r>
                  <w:r w:rsidRPr="00055574">
                    <w:rPr>
                      <w:bCs/>
                      <w:sz w:val="22"/>
                      <w:szCs w:val="22"/>
                      <w:lang w:val="ru-RU"/>
                    </w:rPr>
                    <w:t>http://www.lib.nau.edu.ua/naukpraci/teacher.php?id=11220</w:t>
                  </w:r>
                </w:p>
                <w:p w14:paraId="5953A51B" w14:textId="77777777" w:rsidR="00545A73" w:rsidRPr="00152B9D" w:rsidRDefault="00545A73" w:rsidP="00545A73">
                  <w:pPr>
                    <w:rPr>
                      <w:bCs/>
                      <w:sz w:val="24"/>
                    </w:rPr>
                  </w:pPr>
                  <w:proofErr w:type="spellStart"/>
                  <w:r w:rsidRPr="00152B9D">
                    <w:rPr>
                      <w:b/>
                      <w:bCs/>
                      <w:sz w:val="24"/>
                    </w:rPr>
                    <w:t>Тел</w:t>
                  </w:r>
                  <w:proofErr w:type="spellEnd"/>
                  <w:r w:rsidRPr="00152B9D">
                    <w:rPr>
                      <w:b/>
                      <w:bCs/>
                      <w:sz w:val="24"/>
                    </w:rPr>
                    <w:t xml:space="preserve">.: </w:t>
                  </w:r>
                  <w:r w:rsidRPr="00152B9D">
                    <w:rPr>
                      <w:bCs/>
                      <w:sz w:val="24"/>
                    </w:rPr>
                    <w:t>(044) 406-7</w:t>
                  </w:r>
                  <w:r>
                    <w:rPr>
                      <w:bCs/>
                      <w:sz w:val="24"/>
                    </w:rPr>
                    <w:t>4</w:t>
                  </w:r>
                  <w:r w:rsidRPr="00152B9D">
                    <w:rPr>
                      <w:bCs/>
                      <w:sz w:val="24"/>
                    </w:rPr>
                    <w:t>-</w:t>
                  </w:r>
                  <w:r>
                    <w:rPr>
                      <w:bCs/>
                      <w:sz w:val="24"/>
                    </w:rPr>
                    <w:t>79</w:t>
                  </w:r>
                </w:p>
                <w:p w14:paraId="78F1D6CB" w14:textId="46876D6E" w:rsidR="00545A73" w:rsidRPr="00055574" w:rsidRDefault="00545A73" w:rsidP="00545A73">
                  <w:pPr>
                    <w:rPr>
                      <w:bCs/>
                      <w:sz w:val="24"/>
                      <w:lang w:val="fr-FR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E-</w:t>
                  </w:r>
                  <w:proofErr w:type="spellStart"/>
                  <w:r w:rsidRPr="007D1479">
                    <w:rPr>
                      <w:b/>
                      <w:bCs/>
                      <w:sz w:val="24"/>
                    </w:rPr>
                    <w:t>mail</w:t>
                  </w:r>
                  <w:proofErr w:type="spellEnd"/>
                  <w:r w:rsidRPr="007D1479">
                    <w:rPr>
                      <w:b/>
                      <w:bCs/>
                      <w:sz w:val="24"/>
                    </w:rPr>
                    <w:t xml:space="preserve">: </w:t>
                  </w:r>
                  <w:r w:rsidRPr="00055574">
                    <w:rPr>
                      <w:bCs/>
                      <w:sz w:val="24"/>
                      <w:lang w:val="fr-FR"/>
                    </w:rPr>
                    <w:t>mzaliskyi@</w:t>
                  </w:r>
                  <w:r>
                    <w:rPr>
                      <w:bCs/>
                      <w:sz w:val="24"/>
                      <w:lang w:val="fr-FR"/>
                    </w:rPr>
                    <w:t>kai</w:t>
                  </w:r>
                  <w:r w:rsidRPr="00055574">
                    <w:rPr>
                      <w:bCs/>
                      <w:sz w:val="24"/>
                      <w:lang w:val="fr-FR"/>
                    </w:rPr>
                    <w:t>.edu.ua</w:t>
                  </w:r>
                </w:p>
                <w:p w14:paraId="70CA2FB7" w14:textId="77777777" w:rsidR="00545A73" w:rsidRPr="00055574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Робоче місце:</w:t>
                  </w:r>
                  <w:r w:rsidRPr="007D1479">
                    <w:rPr>
                      <w:b/>
                      <w:bCs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055574">
                    <w:rPr>
                      <w:bCs/>
                      <w:sz w:val="24"/>
                      <w:lang w:val="en-US"/>
                    </w:rPr>
                    <w:t>корп</w:t>
                  </w:r>
                  <w:proofErr w:type="spellEnd"/>
                  <w:r w:rsidRPr="00055574">
                    <w:rPr>
                      <w:bCs/>
                      <w:sz w:val="24"/>
                      <w:lang w:val="en-US"/>
                    </w:rPr>
                    <w:t xml:space="preserve">. 3, </w:t>
                  </w:r>
                  <w:proofErr w:type="spellStart"/>
                  <w:r w:rsidRPr="00055574">
                    <w:rPr>
                      <w:bCs/>
                      <w:sz w:val="24"/>
                      <w:lang w:val="en-US"/>
                    </w:rPr>
                    <w:t>ауд</w:t>
                  </w:r>
                  <w:proofErr w:type="spellEnd"/>
                  <w:r w:rsidRPr="00055574">
                    <w:rPr>
                      <w:bCs/>
                      <w:sz w:val="24"/>
                      <w:lang w:val="en-US"/>
                    </w:rPr>
                    <w:t>. 3/314</w:t>
                  </w:r>
                </w:p>
              </w:tc>
            </w:tr>
          </w:tbl>
          <w:p w14:paraId="002B54EB" w14:textId="370883B2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</w:p>
        </w:tc>
      </w:tr>
      <w:tr w:rsidR="00545A73" w14:paraId="150A651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5F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5C29" w14:textId="7025E4D4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  <w:shd w:val="clear" w:color="auto" w:fill="FFFFFF"/>
              </w:rPr>
              <w:t>Авторський курс;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152B9D">
              <w:rPr>
                <w:sz w:val="24"/>
                <w:shd w:val="clear" w:color="auto" w:fill="FFFFFF"/>
              </w:rPr>
              <w:t>оригінальні завдання до лабораторних робіт</w:t>
            </w:r>
          </w:p>
        </w:tc>
      </w:tr>
      <w:tr w:rsidR="00545A73" w14:paraId="345CB211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E9A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220B0" w14:textId="3F8BAF0B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</w:rPr>
              <w:t xml:space="preserve">Після формування групи слухачів створюється кабінет в </w:t>
            </w:r>
            <w:proofErr w:type="spellStart"/>
            <w:r w:rsidRPr="00152B9D">
              <w:rPr>
                <w:sz w:val="24"/>
              </w:rPr>
              <w:t>GoogleClassroom</w:t>
            </w:r>
            <w:proofErr w:type="spellEnd"/>
            <w:r w:rsidRPr="00152B9D">
              <w:rPr>
                <w:sz w:val="24"/>
              </w:rPr>
              <w:t xml:space="preserve"> з необхідними матеріалами для навчання</w:t>
            </w:r>
          </w:p>
        </w:tc>
      </w:tr>
    </w:tbl>
    <w:p w14:paraId="6327FD81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353B12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27E905" w14:textId="194C6D93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 xml:space="preserve"> </w:t>
      </w:r>
      <w:r w:rsidR="006E5B8D">
        <w:rPr>
          <w:color w:val="000000"/>
          <w:sz w:val="28"/>
          <w:szCs w:val="28"/>
        </w:rPr>
        <w:t>ГНАТЮК</w:t>
      </w:r>
    </w:p>
    <w:p w14:paraId="47234998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FCB31D3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1432AD2" w14:textId="0AFB0D5A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  <w:highlight w:val="white"/>
        </w:rPr>
        <w:t>Максим</w:t>
      </w:r>
      <w:r>
        <w:rPr>
          <w:color w:val="000000"/>
          <w:sz w:val="28"/>
          <w:szCs w:val="28"/>
          <w:highlight w:val="white"/>
        </w:rPr>
        <w:t xml:space="preserve"> </w:t>
      </w:r>
      <w:r w:rsidR="006E5B8D">
        <w:rPr>
          <w:color w:val="000000"/>
          <w:sz w:val="28"/>
          <w:szCs w:val="28"/>
          <w:highlight w:val="white"/>
        </w:rPr>
        <w:t>ЗАЛІСЬКИЙ</w:t>
      </w:r>
    </w:p>
    <w:p w14:paraId="28CE727D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130AE1BB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43"/>
    <w:rsid w:val="00084B43"/>
    <w:rsid w:val="00137F86"/>
    <w:rsid w:val="00545A73"/>
    <w:rsid w:val="005A48BA"/>
    <w:rsid w:val="00643BD0"/>
    <w:rsid w:val="00670BEF"/>
    <w:rsid w:val="00674267"/>
    <w:rsid w:val="006E5B8D"/>
    <w:rsid w:val="007D59AE"/>
    <w:rsid w:val="009D2821"/>
    <w:rsid w:val="009E6A86"/>
    <w:rsid w:val="00A34E06"/>
    <w:rsid w:val="00A4553C"/>
    <w:rsid w:val="00B71D54"/>
    <w:rsid w:val="00B725EE"/>
    <w:rsid w:val="00C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9F4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Пользователь</cp:lastModifiedBy>
  <cp:revision>3</cp:revision>
  <dcterms:created xsi:type="dcterms:W3CDTF">2025-02-07T06:54:00Z</dcterms:created>
  <dcterms:modified xsi:type="dcterms:W3CDTF">2025-02-07T06:55:00Z</dcterms:modified>
</cp:coreProperties>
</file>