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BC" w:rsidRPr="00176284" w:rsidRDefault="003C46BC" w:rsidP="003C46BC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62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21.01 - 02)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3C46BC" w:rsidRPr="00176284" w:rsidTr="00037AF1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A448B0C" wp14:editId="429739A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3C46BC" w:rsidRPr="00176284" w:rsidRDefault="003C46BC" w:rsidP="00F7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762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1762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:rsidR="003C46BC" w:rsidRPr="00176284" w:rsidRDefault="003C46BC" w:rsidP="00F7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2B00E3" w:rsidRPr="002B00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РАДІОАВТОМАТИКА ТА ТЕЛЕУПРАВЛІННЯ</w:t>
            </w:r>
            <w:r w:rsidRPr="001762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3C46BC" w:rsidRPr="00176284" w:rsidRDefault="003C46BC" w:rsidP="00F7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C46BC" w:rsidRPr="00176284" w:rsidRDefault="003C46BC" w:rsidP="00F7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Спеціальність: Шифр й найменування</w:t>
            </w:r>
          </w:p>
          <w:p w:rsidR="003C46BC" w:rsidRPr="00176284" w:rsidRDefault="003C46BC" w:rsidP="00F754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Галузь знань: Шифр й найменування 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:rsidR="003C46BC" w:rsidRPr="00176284" w:rsidRDefault="00880DE5" w:rsidP="00F754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Бакалавр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3C46BC" w:rsidRPr="00176284" w:rsidRDefault="003C46BC" w:rsidP="00F754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:rsidR="003C46BC" w:rsidRPr="00176284" w:rsidRDefault="003C46BC" w:rsidP="00F754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ЄКТС/години</w:t>
            </w:r>
          </w:p>
        </w:tc>
        <w:tc>
          <w:tcPr>
            <w:tcW w:w="7160" w:type="dxa"/>
          </w:tcPr>
          <w:p w:rsidR="003C46BC" w:rsidRPr="00176284" w:rsidRDefault="002B00E3" w:rsidP="002B0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C46BC"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,5/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3C46BC"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3C46BC" w:rsidRPr="00176284" w:rsidRDefault="003C46BC" w:rsidP="00F754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2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Українська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3C46BC" w:rsidRPr="00176284" w:rsidRDefault="003C46BC" w:rsidP="002B00E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2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Сучасні </w:t>
            </w:r>
            <w:r w:rsidR="002B0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 та підходи в галузі</w:t>
            </w:r>
            <w:r w:rsidRPr="001762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0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радіоавтоматики</w:t>
            </w:r>
            <w:proofErr w:type="spellEnd"/>
            <w:r w:rsidR="002B0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 телеуправління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:rsidR="003C46BC" w:rsidRPr="00176284" w:rsidRDefault="002B00E3" w:rsidP="00F8197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0E3">
              <w:rPr>
                <w:rFonts w:ascii="Times New Roman" w:hAnsi="Times New Roman"/>
                <w:b/>
                <w:sz w:val="24"/>
                <w:szCs w:val="24"/>
              </w:rPr>
              <w:t xml:space="preserve">Надання студентам знань та навичок теоретичних основ функціонування, принципів та методів аналізу і синтезу, методів та технологій проектування сучасних пристроїв та систем </w:t>
            </w:r>
            <w:r w:rsidR="00095884">
              <w:rPr>
                <w:rFonts w:ascii="Times New Roman" w:hAnsi="Times New Roman"/>
                <w:b/>
                <w:sz w:val="24"/>
                <w:szCs w:val="24"/>
              </w:rPr>
              <w:t>радіо автоматики та телеуправл</w:t>
            </w:r>
            <w:r w:rsidR="00F81973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095884">
              <w:rPr>
                <w:rFonts w:ascii="Times New Roman" w:hAnsi="Times New Roman"/>
                <w:b/>
                <w:sz w:val="24"/>
                <w:szCs w:val="24"/>
              </w:rPr>
              <w:t>ння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3C46BC" w:rsidRPr="00176284" w:rsidRDefault="00095884" w:rsidP="00F819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5884">
              <w:rPr>
                <w:rFonts w:ascii="Times New Roman" w:hAnsi="Times New Roman"/>
                <w:b/>
                <w:sz w:val="24"/>
                <w:szCs w:val="24"/>
              </w:rPr>
              <w:t>Уміння застосовувати пакети інженерного програмного забезпечення для проведення досліджень, аналізу</w:t>
            </w:r>
            <w:r w:rsidR="00F81973">
              <w:rPr>
                <w:rFonts w:ascii="Times New Roman" w:hAnsi="Times New Roman"/>
                <w:b/>
                <w:sz w:val="24"/>
                <w:szCs w:val="24"/>
              </w:rPr>
              <w:t xml:space="preserve"> стійкості та якості систем </w:t>
            </w:r>
            <w:proofErr w:type="spellStart"/>
            <w:r w:rsidR="00F81973">
              <w:rPr>
                <w:rFonts w:ascii="Times New Roman" w:hAnsi="Times New Roman"/>
                <w:b/>
                <w:sz w:val="24"/>
                <w:szCs w:val="24"/>
              </w:rPr>
              <w:t>радіоавтоматики</w:t>
            </w:r>
            <w:proofErr w:type="spellEnd"/>
            <w:r w:rsidRPr="00095884">
              <w:rPr>
                <w:rFonts w:ascii="Times New Roman" w:hAnsi="Times New Roman"/>
                <w:b/>
                <w:sz w:val="24"/>
                <w:szCs w:val="24"/>
              </w:rPr>
              <w:t>. Уміння розробляти, планувати і застосовувати математичні методи в аналізі, моделюванні та функціонуванні телекомунікаційних та радіотехнічних пристроїв та систем.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3C46BC" w:rsidRPr="00176284" w:rsidRDefault="00F81973" w:rsidP="00F81973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5884">
              <w:rPr>
                <w:rFonts w:ascii="Times New Roman" w:hAnsi="Times New Roman"/>
                <w:b/>
                <w:sz w:val="24"/>
                <w:szCs w:val="24"/>
              </w:rPr>
              <w:t xml:space="preserve">Пояснювати принципи побудови й функціонування типових систем </w:t>
            </w:r>
            <w:proofErr w:type="spellStart"/>
            <w:r w:rsidRPr="00095884">
              <w:rPr>
                <w:rFonts w:ascii="Times New Roman" w:hAnsi="Times New Roman"/>
                <w:b/>
                <w:sz w:val="24"/>
                <w:szCs w:val="24"/>
              </w:rPr>
              <w:t>радіоавтоматики</w:t>
            </w:r>
            <w:proofErr w:type="spellEnd"/>
            <w:r w:rsidRPr="000958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5884" w:rsidRPr="00095884">
              <w:rPr>
                <w:rFonts w:ascii="Times New Roman" w:hAnsi="Times New Roman"/>
                <w:b/>
                <w:sz w:val="24"/>
                <w:szCs w:val="24"/>
              </w:rPr>
              <w:t xml:space="preserve">Застосування розуміння засобів автоматизації проектування і технічної експлуатації систем телекомунікацій та радіотехніки у професійній діяльності. 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:rsidR="003C46BC" w:rsidRPr="000E7646" w:rsidRDefault="003C46BC" w:rsidP="00F754AC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E5">
              <w:rPr>
                <w:rFonts w:ascii="Times New Roman" w:hAnsi="Times New Roman"/>
                <w:b/>
                <w:bCs/>
                <w:sz w:val="24"/>
              </w:rPr>
              <w:t>Зміст дисципліни:</w:t>
            </w:r>
            <w:r w:rsidRPr="00880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Класифікація систем </w:t>
            </w:r>
            <w:r w:rsidR="000E7646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радіо автоматики (</w:t>
            </w:r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="000E7646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їх узагальнена структурна схема. Основні характеристики систем РА.  Типові ланки систем РА. Передаточні функції та диференційні рівняння систем РА. Аналіз стійкості системи </w:t>
            </w:r>
            <w:proofErr w:type="spellStart"/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радіоавтоматики</w:t>
            </w:r>
            <w:proofErr w:type="spellEnd"/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алгебраїчними критеріями.  Аналіз стійкості системи РА за частотними критеріями. Запас стійкості систем РА та їх аналіз за частотними характеристиками. Аналіз якості роботи систем </w:t>
            </w:r>
            <w:proofErr w:type="spellStart"/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радіоавтоматики</w:t>
            </w:r>
            <w:proofErr w:type="spellEnd"/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Використання пакетів </w:t>
            </w:r>
            <w:proofErr w:type="spellStart"/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MatLab</w:t>
            </w:r>
            <w:proofErr w:type="spellEnd"/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7646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037AF1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Multisim</w:t>
            </w:r>
            <w:proofErr w:type="spellEnd"/>
            <w:r w:rsidR="000E7646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дослідження систем РА</w:t>
            </w:r>
            <w:r w:rsid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E7646" w:rsidRPr="000E7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визначення та класифікація систем телеуправління. Методи телеуправління. Телеметричні системи з частотним розподілом каналів. Цифрові телеметричні системи. Методи аналізу пристроїв. Модель систем автоматичного регулювання  підсилення (АРП),  автоматичного регулювання частоти (АПЧ), фазового автоматичного підстроювання частоти (ФАПЧ).</w:t>
            </w:r>
          </w:p>
          <w:p w:rsidR="003C46BC" w:rsidRPr="00176284" w:rsidRDefault="003C46BC" w:rsidP="00F75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Види занять:</w:t>
            </w:r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лабораторні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заняття, домашн</w:t>
            </w:r>
            <w:r w:rsidR="0009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завдання</w:t>
            </w:r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C46BC" w:rsidRPr="00176284" w:rsidRDefault="003C46BC" w:rsidP="00F75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 навчання:</w:t>
            </w:r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проблемний виклад, дослідницькі методи, презентації, бесіди та дискусії, робота в </w:t>
            </w:r>
            <w:proofErr w:type="spellStart"/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(електронні лекції, лабораторні роботи, дистанційні консультації, тестування).</w:t>
            </w:r>
          </w:p>
          <w:p w:rsidR="003C46BC" w:rsidRPr="00176284" w:rsidRDefault="003C46BC" w:rsidP="0009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 навчання:</w:t>
            </w:r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проблемні й оглядові лекції, лабораторні заняття, тренінги, заняття із застосуванням комп’ютерної техніки.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</w:tcPr>
          <w:p w:rsidR="003C46BC" w:rsidRPr="00176284" w:rsidRDefault="003C46BC" w:rsidP="00F75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«Вища математика», «Фізика», «Основи програмування в телекомунікаціях та радіотехніці», «Сигнали та процеси в </w:t>
            </w:r>
            <w:proofErr w:type="spellStart"/>
            <w:r w:rsidRPr="00725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радіоінформаційних</w:t>
            </w:r>
            <w:proofErr w:type="spellEnd"/>
            <w:r w:rsidRPr="00725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системах»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F695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Основи теорії надійності, експлуатації 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695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ремонту РЕА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F695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«Р</w:t>
            </w:r>
            <w:r w:rsidRPr="00CF695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адіоелектронні системи та комплекси авіаційної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r w:rsidRPr="00CF695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езпеки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C7092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Радіоелектронні системи зв'язку, навігації, спостереження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176284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:rsidR="003C46BC" w:rsidRDefault="003C46BC" w:rsidP="003C46B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C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0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6" w:history="1">
              <w:proofErr w:type="spellStart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Вагапов</w:t>
              </w:r>
              <w:proofErr w:type="spellEnd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Б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Бурляй</w:t>
              </w:r>
              <w:proofErr w:type="spellEnd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І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Ю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Рюмшин</w:t>
              </w:r>
              <w:proofErr w:type="spellEnd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Радіоавтоматика</w:t>
              </w:r>
              <w:proofErr w:type="spellEnd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 підручник.  – Київ: Техніка, 202</w:t>
              </w:r>
              <w:r w:rsidR="00FD6FF4" w:rsidRPr="00FD6FF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 – 228 с.</w:t>
              </w:r>
            </w:hyperlink>
          </w:p>
          <w:p w:rsidR="003C46BC" w:rsidRDefault="003C46BC" w:rsidP="003C46B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hyperlink r:id="rId7" w:history="1"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Вишнівський</w:t>
              </w:r>
              <w:proofErr w:type="spellEnd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Жердєв</w:t>
              </w:r>
              <w:proofErr w:type="spellEnd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К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Жиров</w:t>
              </w:r>
              <w:proofErr w:type="spellEnd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Б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Лєнков</w:t>
              </w:r>
              <w:proofErr w:type="spellEnd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С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Аналогові системи керування: </w:t>
              </w:r>
              <w:proofErr w:type="spellStart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навч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посібник/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Київський національний ун-т ім. Т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Шевченка.  –</w:t>
              </w:r>
              <w:bookmarkStart w:id="0" w:name="_GoBack"/>
              <w:bookmarkEnd w:id="0"/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 Київ: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3C46B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Київський ун-т, 2011. – 255 с.</w:t>
              </w:r>
            </w:hyperlink>
          </w:p>
          <w:p w:rsidR="003C46BC" w:rsidRDefault="003C46BC" w:rsidP="003C46B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Рудик А. В. </w:t>
            </w:r>
            <w:proofErr w:type="spellStart"/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Радіоавтоматика</w:t>
            </w:r>
            <w:proofErr w:type="spellEnd"/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Ч. 1. Лінійні системи </w:t>
            </w:r>
            <w:proofErr w:type="spellStart"/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радіоавтоматики</w:t>
            </w:r>
            <w:proofErr w:type="spellEnd"/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/ А. В. Рудик. – Вінниця : ВДТУ, 201</w:t>
            </w:r>
            <w:r w:rsidR="00FD6FF4"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158 с.</w:t>
            </w:r>
          </w:p>
          <w:p w:rsidR="00E7664C" w:rsidRDefault="00E45F3B" w:rsidP="00E7664C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Прокопенко І. Г. Статистична обробка сигналів: </w:t>
            </w:r>
            <w:proofErr w:type="spellStart"/>
            <w:r w:rsidR="00E7664C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="00E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7664C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="00E7664C">
              <w:rPr>
                <w:rFonts w:ascii="Times New Roman" w:hAnsi="Times New Roman"/>
                <w:color w:val="000000"/>
                <w:sz w:val="24"/>
                <w:szCs w:val="24"/>
              </w:rPr>
              <w:t>. МОНУ /  І. Г. Прокопенко.  – К.: НАУ, 2011. – 201 с.</w:t>
            </w:r>
          </w:p>
          <w:p w:rsidR="00E45F3B" w:rsidRPr="003C46BC" w:rsidRDefault="00E7664C" w:rsidP="003C46B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hyperlink r:id="rId8" w:history="1"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Блохін Л.М., </w:t>
              </w:r>
              <w:proofErr w:type="spellStart"/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Буриченко</w:t>
              </w:r>
              <w:proofErr w:type="spellEnd"/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М.Ю., Білак Н.В., </w:t>
              </w:r>
              <w:proofErr w:type="spellStart"/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Безкоровайний</w:t>
              </w:r>
              <w:proofErr w:type="spellEnd"/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Ю.М., </w:t>
              </w:r>
              <w:proofErr w:type="spellStart"/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Кривоносенко</w:t>
              </w:r>
              <w:proofErr w:type="spellEnd"/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О.П.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037A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</w:t>
              </w:r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татистична динаміка систем управління: </w:t>
              </w:r>
              <w:proofErr w:type="spellStart"/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навч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посібник/ МОН; Н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АУ</w:t>
              </w:r>
              <w:r w:rsidRPr="00E76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  – Київ, 2010. – 294 с.</w:t>
              </w:r>
            </w:hyperlink>
            <w:r w:rsidRPr="003C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46BC" w:rsidRPr="00F06C8E" w:rsidRDefault="003C46BC" w:rsidP="00F754A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3C46BC" w:rsidRPr="00176284" w:rsidRDefault="003C46BC" w:rsidP="00846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корп. 3, </w:t>
            </w:r>
            <w:proofErr w:type="spellStart"/>
            <w:r w:rsidRPr="003C4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</w:t>
            </w:r>
            <w:proofErr w:type="spellEnd"/>
            <w:r w:rsidRPr="003C4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3/302 (комп’ютерний клас); </w:t>
            </w:r>
            <w:r w:rsidR="0084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3/116, </w:t>
            </w:r>
            <w:r w:rsidRPr="00CB6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305</w:t>
            </w:r>
            <w:r w:rsidRPr="00CB6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B6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лекції</w:t>
            </w:r>
            <w:proofErr w:type="spellEnd"/>
            <w:r w:rsidRPr="00CB6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3C46BC" w:rsidRDefault="003C46BC" w:rsidP="00F75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Поточне оцінювання виконання лабораторних робіт.</w:t>
            </w:r>
          </w:p>
          <w:p w:rsidR="003C46BC" w:rsidRDefault="003C46BC" w:rsidP="00F75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Модульне тестування теоретичних знань.</w:t>
            </w:r>
          </w:p>
          <w:p w:rsidR="003C46BC" w:rsidRDefault="003C46BC" w:rsidP="0084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Диференційований залік 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3C46BC" w:rsidRDefault="003C46BC" w:rsidP="00F75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Телекомунікаційних та радіоелектронних систем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3C46BC" w:rsidRDefault="003C46BC" w:rsidP="00F75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Аеронавігації, електроніки та телекомунікацій</w:t>
            </w:r>
          </w:p>
        </w:tc>
      </w:tr>
      <w:tr w:rsidR="003C46BC" w:rsidRPr="00176284" w:rsidTr="00037AF1">
        <w:trPr>
          <w:trHeight w:val="1959"/>
        </w:trPr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62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84614F" w:rsidRPr="00176284" w:rsidRDefault="0084614F" w:rsidP="00846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E4597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="00F41A6E" w:rsidRPr="00EE4597">
              <w:rPr>
                <w:rFonts w:ascii="Times New Roman" w:hAnsi="Times New Roman"/>
                <w:sz w:val="24"/>
                <w:szCs w:val="24"/>
              </w:rPr>
              <w:t>Ю</w:t>
            </w:r>
            <w:r w:rsidRPr="00EE4597">
              <w:rPr>
                <w:rFonts w:ascii="Times New Roman" w:hAnsi="Times New Roman"/>
                <w:sz w:val="24"/>
                <w:szCs w:val="24"/>
              </w:rPr>
              <w:t>лія Валеріївна</w:t>
            </w:r>
          </w:p>
          <w:p w:rsidR="0084614F" w:rsidRPr="00176284" w:rsidRDefault="0084614F" w:rsidP="00846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Pr="00EE459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84614F" w:rsidRPr="00176284" w:rsidRDefault="0084614F" w:rsidP="00846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 w:rsidRPr="00EE4597"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 w:rsidRPr="00EE4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14F" w:rsidRPr="00176284" w:rsidRDefault="0084614F" w:rsidP="00846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176284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 w:rsidRPr="00176284">
              <w:t xml:space="preserve"> </w:t>
            </w:r>
            <w:hyperlink r:id="rId9" w:history="1">
              <w:r w:rsidRPr="00176284">
                <w:rPr>
                  <w:rStyle w:val="a3"/>
                </w:rPr>
                <w:t>http://arec.nau.edu.ua/?page_id=2670</w:t>
              </w:r>
            </w:hyperlink>
          </w:p>
          <w:p w:rsidR="0084614F" w:rsidRPr="00176284" w:rsidRDefault="0084614F" w:rsidP="00846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 w:rsidRPr="00176284">
              <w:rPr>
                <w:rFonts w:ascii="Times New Roman" w:hAnsi="Times New Roman"/>
                <w:sz w:val="24"/>
                <w:szCs w:val="24"/>
              </w:rPr>
              <w:t>+380683731368</w:t>
            </w:r>
          </w:p>
          <w:p w:rsidR="0084614F" w:rsidRPr="00176284" w:rsidRDefault="0084614F" w:rsidP="00846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17628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624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yuliia.petrova@npp.nau.edu.ua</w:t>
            </w:r>
          </w:p>
          <w:p w:rsidR="003C46BC" w:rsidRPr="00176284" w:rsidRDefault="0084614F" w:rsidP="0084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E8BA3E5" wp14:editId="0E1B551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-1022350</wp:posOffset>
                      </wp:positionV>
                      <wp:extent cx="1000125" cy="1132840"/>
                      <wp:effectExtent l="8255" t="6985" r="10795" b="12700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14F" w:rsidRDefault="0084614F" w:rsidP="0084614F">
                                  <w:pPr>
                                    <w:spacing w:after="0" w:line="257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 w:val="16"/>
                                      <w:szCs w:val="16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6D432D51" wp14:editId="452E79EE">
                                        <wp:extent cx="922020" cy="1247775"/>
                                        <wp:effectExtent l="0" t="0" r="0" b="9525"/>
                                        <wp:docPr id="5" name="Рисунок 5" descr="fotoPetrova копи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otoPetrova копия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45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020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Фото за бажанням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BA3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-3.65pt;margin-top:-80.5pt;width:78.75pt;height:8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" strokeweight=".5pt">
                      <v:textbox>
                        <w:txbxContent>
                          <w:p w:rsidR="0084614F" w:rsidRDefault="0084614F" w:rsidP="0084614F">
                            <w:pPr>
                              <w:spacing w:after="0" w:line="257" w:lineRule="auto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6D432D51" wp14:editId="452E79EE">
                                  <wp:extent cx="922020" cy="1247775"/>
                                  <wp:effectExtent l="0" t="0" r="0" b="9525"/>
                                  <wp:docPr id="5" name="Рисунок 5" descr="fotoPetrova коп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toPetrova коп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Фото за бажанням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3.308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3C46BC" w:rsidRPr="00176284" w:rsidRDefault="00F81973" w:rsidP="00350A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50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Навчальний матеріал</w:t>
            </w:r>
            <w:r w:rsidR="00350A13" w:rsidRPr="00350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ґрунтується на використанні пакетів </w:t>
            </w:r>
            <w:proofErr w:type="spellStart"/>
            <w:r w:rsidR="00350A13" w:rsidRPr="00350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MatLab</w:t>
            </w:r>
            <w:proofErr w:type="spellEnd"/>
            <w:r w:rsidR="00350A13" w:rsidRPr="00350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350A13" w:rsidRPr="00350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Multisim</w:t>
            </w:r>
            <w:proofErr w:type="spellEnd"/>
            <w:r w:rsidR="00350A13" w:rsidRPr="00350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дослідження систем РА</w:t>
            </w:r>
            <w:r w:rsidRPr="00350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Оригінальні завдання до лабораторних робіт та домашніх завдань з використанням комп’ютерних технологій.</w:t>
            </w:r>
          </w:p>
        </w:tc>
      </w:tr>
      <w:tr w:rsidR="003C46BC" w:rsidRPr="00176284" w:rsidTr="00037AF1">
        <w:tc>
          <w:tcPr>
            <w:tcW w:w="3261" w:type="dxa"/>
            <w:shd w:val="clear" w:color="auto" w:fill="FFFFFF"/>
          </w:tcPr>
          <w:p w:rsidR="003C46BC" w:rsidRPr="00176284" w:rsidRDefault="003C46BC" w:rsidP="00F75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6284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176284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:rsidR="003C46BC" w:rsidRPr="00176284" w:rsidRDefault="00FD6FF4" w:rsidP="00F754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981E08">
                <w:rPr>
                  <w:rStyle w:val="a3"/>
                </w:rPr>
                <w:t>https://classroom.google.com/c/NjYxNjI2OTExNTJa</w:t>
              </w:r>
            </w:hyperlink>
          </w:p>
        </w:tc>
      </w:tr>
    </w:tbl>
    <w:p w:rsidR="00037AF1" w:rsidRDefault="00037AF1" w:rsidP="00037AF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7AF1" w:rsidRDefault="00037AF1" w:rsidP="00037AF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7AF1" w:rsidRDefault="00037AF1" w:rsidP="00037AF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Петрова Ю. В.</w:t>
      </w:r>
    </w:p>
    <w:p w:rsidR="00917E90" w:rsidRDefault="00037AF1" w:rsidP="00FA0EA3">
      <w:pPr>
        <w:spacing w:after="0" w:line="240" w:lineRule="auto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Завідувач кафедри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Конахович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Ф.</w:t>
      </w:r>
    </w:p>
    <w:sectPr w:rsidR="00917E90" w:rsidSect="003C46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4C3"/>
    <w:multiLevelType w:val="hybridMultilevel"/>
    <w:tmpl w:val="9880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BC"/>
    <w:rsid w:val="00037AF1"/>
    <w:rsid w:val="00095884"/>
    <w:rsid w:val="000E7646"/>
    <w:rsid w:val="002B00E3"/>
    <w:rsid w:val="00345C9D"/>
    <w:rsid w:val="00350A13"/>
    <w:rsid w:val="003C46BC"/>
    <w:rsid w:val="0084614F"/>
    <w:rsid w:val="00880DE5"/>
    <w:rsid w:val="008F4246"/>
    <w:rsid w:val="00917E90"/>
    <w:rsid w:val="00981E08"/>
    <w:rsid w:val="00C82B4E"/>
    <w:rsid w:val="00D328ED"/>
    <w:rsid w:val="00E45F3B"/>
    <w:rsid w:val="00E7664C"/>
    <w:rsid w:val="00F41A6E"/>
    <w:rsid w:val="00F81973"/>
    <w:rsid w:val="00FA0EA3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F8BA-427A-4A88-B6B7-6F17E81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B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46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4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search/Details.aspx?id=221444&amp;lang=uk-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nau.edu.ua/search/Details.aspx?id=340415&amp;lang=uk-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nau.edu.ua/search/Details.aspx?id=36782&amp;lang=uk-UA" TargetMode="External"/><Relationship Id="rId11" Type="http://schemas.openxmlformats.org/officeDocument/2006/relationships/hyperlink" Target="https://classroom.google.com/c/NjYxNjI2OTExNTJ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rec.nau.edu.ua/?page_id=2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Vitia</dc:creator>
  <cp:lastModifiedBy>Vitia</cp:lastModifiedBy>
  <cp:revision>11</cp:revision>
  <dcterms:created xsi:type="dcterms:W3CDTF">2020-05-24T19:55:00Z</dcterms:created>
  <dcterms:modified xsi:type="dcterms:W3CDTF">2023-03-07T06:20:00Z</dcterms:modified>
</cp:coreProperties>
</file>