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" w:firstLine="0"/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(Ф 21.01 – 03)</w:t>
      </w:r>
    </w:p>
    <w:p w:rsidR="00000000" w:rsidDel="00000000" w:rsidP="00000000" w:rsidRDefault="00000000" w:rsidRPr="00000000" w14:paraId="00000002">
      <w:pPr>
        <w:ind w:left="567" w:firstLine="0"/>
        <w:jc w:val="right"/>
        <w:rPr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2410"/>
        <w:gridCol w:w="4750"/>
        <w:tblGridChange w:id="0">
          <w:tblGrid>
            <w:gridCol w:w="3261"/>
            <w:gridCol w:w="2410"/>
            <w:gridCol w:w="4750"/>
          </w:tblGrid>
        </w:tblGridChange>
      </w:tblGrid>
      <w:tr>
        <w:trPr>
          <w:cantSplit w:val="0"/>
          <w:trHeight w:val="21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03">
            <w:pPr>
              <w:spacing w:line="246.99999999999994" w:lineRule="auto"/>
              <w:rPr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145414</wp:posOffset>
                  </wp:positionH>
                  <wp:positionV relativeFrom="paragraph">
                    <wp:posOffset>136525</wp:posOffset>
                  </wp:positionV>
                  <wp:extent cx="1572260" cy="1442720"/>
                  <wp:effectExtent b="0" l="0" r="0" t="0"/>
                  <wp:wrapSquare wrapText="bothSides" distB="0" distT="0" distL="114300" distR="114300"/>
                  <wp:docPr descr="04_b" id="3" name="image2.jpg"/>
                  <a:graphic>
                    <a:graphicData uri="http://schemas.openxmlformats.org/drawingml/2006/picture">
                      <pic:pic>
                        <pic:nvPicPr>
                          <pic:cNvPr descr="04_b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0" cy="1442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shd w:fill="ffffff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6.99999999999994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СИЛАБУС НАВЧАЛЬНОЇ ДИСЦИПЛІНИ</w:t>
            </w:r>
          </w:p>
          <w:p w:rsidR="00000000" w:rsidDel="00000000" w:rsidP="00000000" w:rsidRDefault="00000000" w:rsidRPr="00000000" w14:paraId="00000005">
            <w:pPr>
              <w:spacing w:line="246.99999999999994" w:lineRule="auto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6.99999999999994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Мережі ІР-телефонії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07">
            <w:pPr>
              <w:spacing w:line="246.99999999999994" w:lineRule="auto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6.99999999999994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освітньо-професійних програм (ОПП)</w:t>
            </w:r>
          </w:p>
          <w:p w:rsidR="00000000" w:rsidDel="00000000" w:rsidP="00000000" w:rsidRDefault="00000000" w:rsidRPr="00000000" w14:paraId="00000009">
            <w:pPr>
              <w:spacing w:line="246.99999999999994" w:lineRule="auto"/>
              <w:jc w:val="center"/>
              <w:rPr>
                <w:b w:val="1"/>
                <w:sz w:val="6"/>
                <w:szCs w:val="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6.99999999999994" w:lineRule="auto"/>
              <w:ind w:left="-108" w:right="-177" w:firstLine="0"/>
              <w:jc w:val="center"/>
              <w:rPr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b w:val="1"/>
                <w:sz w:val="23"/>
                <w:szCs w:val="23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Телекомунікаційні системи та мережі</w:t>
            </w:r>
            <w:r w:rsidDel="00000000" w:rsidR="00000000" w:rsidRPr="00000000">
              <w:rPr>
                <w:b w:val="1"/>
                <w:sz w:val="23"/>
                <w:szCs w:val="23"/>
                <w:highlight w:val="whit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0B">
            <w:pPr>
              <w:spacing w:line="246.99999999999994" w:lineRule="auto"/>
              <w:ind w:left="-108" w:right="-177" w:firstLine="0"/>
              <w:jc w:val="center"/>
              <w:rPr>
                <w:sz w:val="6"/>
                <w:szCs w:val="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6.99999999999994" w:lineRule="auto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6.99999999999994" w:lineRule="auto"/>
              <w:jc w:val="both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Галузь знань: 17  «</w:t>
            </w:r>
            <w:r w:rsidDel="00000000" w:rsidR="00000000" w:rsidRPr="00000000">
              <w:rPr>
                <w:rtl w:val="0"/>
              </w:rPr>
              <w:t xml:space="preserve">Електроніка та телекомунікації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0E">
            <w:pPr>
              <w:spacing w:line="246.99999999999994" w:lineRule="auto"/>
              <w:jc w:val="both"/>
              <w:rPr>
                <w:b w:val="1"/>
                <w:color w:val="000000"/>
                <w:sz w:val="6"/>
                <w:szCs w:val="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6.99999999999994" w:lineRule="auto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Спеціальність: 172</w:t>
            </w:r>
            <w:r w:rsidDel="00000000" w:rsidR="00000000" w:rsidRPr="00000000">
              <w:rPr>
                <w:b w:val="1"/>
                <w:rtl w:val="0"/>
              </w:rPr>
              <w:t xml:space="preserve"> «</w:t>
            </w:r>
            <w:r w:rsidDel="00000000" w:rsidR="00000000" w:rsidRPr="00000000">
              <w:rPr>
                <w:rtl w:val="0"/>
              </w:rPr>
              <w:t xml:space="preserve">Телекомунікації та радіотехніка</w:t>
            </w:r>
            <w:r w:rsidDel="00000000" w:rsidR="00000000" w:rsidRPr="00000000">
              <w:rPr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1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Рівень вищої освіти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2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Перший (бакалаврський)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4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Статус дисципліни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5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Навчальна дисципліна вибіркового компонента ОПП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7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Курс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8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Четвертий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A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Семестр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B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Денна форма навчання – сьомий</w:t>
            </w:r>
          </w:p>
          <w:p w:rsidR="00000000" w:rsidDel="00000000" w:rsidP="00000000" w:rsidRDefault="00000000" w:rsidRPr="00000000" w14:paraId="0000001C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Заочна форма навчання – сьомий та восьмий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E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Обсяг дисципліни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F">
            <w:pPr>
              <w:spacing w:line="246.99999999999994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4 кредити ЄКТС / 120 годин 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1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Мова викладання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2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Українська, англійська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4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Що буде вивчатися (предмет вивчення)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5">
            <w:pPr>
              <w:spacing w:line="246.99999999999994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Сучасні мережі ІР-телефонії. </w:t>
            </w:r>
            <w:r w:rsidDel="00000000" w:rsidR="00000000" w:rsidRPr="00000000">
              <w:rPr>
                <w:highlight w:val="white"/>
                <w:rtl w:val="0"/>
              </w:rPr>
              <w:t xml:space="preserve">Предметом навчання є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принципи побудови та експлуатації сучасних мереж ІР-телефонії, з використанням різноманітних протоколів, проектування та розрахунок мереж ІР-телефонії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7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Чому це цікаво /</w:t>
            </w:r>
          </w:p>
          <w:p w:rsidR="00000000" w:rsidDel="00000000" w:rsidP="00000000" w:rsidRDefault="00000000" w:rsidRPr="00000000" w14:paraId="00000028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треба вивчати (мета)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Метою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навчальної дисципліни є створення можливостей оволодіння основами теорії і практики побудови мереж ІР-телефонії, з використанням різноманітних протоколів, які в значній мірі визначають технічні і якісні характеристики телекомунікаційних систем. В системі підготовки дисципліна займає своє додаткове місце, тому що вона покращує науково-технічний світогляд спеціаліста з телекомунікацій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B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Чому можна навчитися (основні результати навчання, які можна досягти, зокрема, в сукупності з іншими дисциплінами)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0" w:firstLine="2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Здатність брати участь у проектуванні нових (модернізації існуючих) телекомунікаційних систем, інфокомунікаційних, телекомунікаційних мереж, радіотехнічних систем та систем телевізійного й радіомовлення тощо. (ПРН7);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0" w:firstLine="2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Вміння адміністрування телекомунікаційних систем, інфокомунікаційних та телекомунікаційних мереж. (ПРН9);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0" w:firstLine="20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Здатність проводити випробування телекомунікаційних систем, інфокомунікаційних, телекомунікаційних мереж, радіотехнічних систем та систем телевізійного й радіомовлення у відповідності до технічних регламентів та інших нормативних документів. (ПРН10);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0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Як можна користуватися набутими знаннями і уміннями (основні компетентності, які можна здобути, зокрема, в сукупності з іншими дисциплінами)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66" w:firstLine="141.9999999999999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Готовність сприяти впровадженню перспективних технологій і стандартів (ФК8</w:t>
            </w:r>
            <w:r w:rsidDel="00000000" w:rsidR="00000000" w:rsidRPr="00000000">
              <w:rPr>
                <w:b w:val="1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66" w:firstLine="141.9999999999999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Здатність здійснювати монтаж, налагодження, налаштування, регулювання, дослідну перевірку працездатності, випробування та здачу в експлуатацію споруд, засобів і устаткування телекомунікацій та радіотехніки (ФК10);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66" w:firstLine="141.9999999999999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Здатність проводити роботи з керування потоками навантаження інформаційно-телекомунікаційних мереж (ФК12);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66" w:firstLine="141.99999999999997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Здатність 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методів, прийомів і програмних засобів автоматизації проектування (ФК15</w:t>
            </w:r>
            <w:r w:rsidDel="00000000" w:rsidR="00000000" w:rsidRPr="00000000">
              <w:rPr>
                <w:b w:val="1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6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Навчальна логістика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ind w:firstLine="709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Зміст дисципліни: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VoIP та конвергенція мереж, Протоколи VoIP та QoS в IP-мережах, Управління чергою в IP-мережах, Протоколи передачі голосу, VoIP на основі стандарту H.323, VoIP на основі стандарту SIP, Режими роботи SIP, Об'єднання в мережу зон VoIP та телефонна маршрутизація, Архітектурні моделі систем VoIP, Вимоги до системи VoIP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6.99999999999994" w:lineRule="auto"/>
              <w:ind w:firstLine="425"/>
              <w:jc w:val="both"/>
              <w:rPr/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Види занять: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лекції, лабораторні заняття.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6.99999999999994" w:lineRule="auto"/>
              <w:ind w:firstLine="425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Методи навчання:</w:t>
            </w:r>
            <w:r w:rsidDel="00000000" w:rsidR="00000000" w:rsidRPr="00000000">
              <w:rPr>
                <w:rtl w:val="0"/>
              </w:rPr>
              <w:t xml:space="preserve"> методи проблемно-розвиваючого навчання, які ґрунтуються на принципах цілеспрямованості, використанні показового, діалогічного, евристичного, дослідницького та програмованого методів; інтерактивні методи навчання (метод групової роботи, синектика, дискусії, метод проектів), які сприяють розвитку творчої та пізнавальної діяльності в контексті спрямованості навчальної дисципліни на побудові комутаційних систем та їх складових елементів; методики тренінгового навчання у вигляді виконання пошукових, розрахункових та творчих завдань з використанням сучасних інформаційних технологій, роботи з базами бібліографічних, статистичних та інших видів даних, що використовується, зокрема, при виконанні контрольної (домашньої) роботи (ЗФН); елементи технологій дистанційного навчання з використанням засобів комп’ютерної техніки, телекомунікацій та веб-технологій.</w:t>
            </w:r>
          </w:p>
          <w:p w:rsidR="00000000" w:rsidDel="00000000" w:rsidP="00000000" w:rsidRDefault="00000000" w:rsidRPr="00000000" w14:paraId="0000003A">
            <w:pPr>
              <w:spacing w:line="246.99999999999994" w:lineRule="auto"/>
              <w:ind w:firstLine="425"/>
              <w:jc w:val="both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 навчання: </w:t>
            </w:r>
            <w:r w:rsidDel="00000000" w:rsidR="00000000" w:rsidRPr="00000000">
              <w:rPr>
                <w:rtl w:val="0"/>
              </w:rPr>
              <w:t xml:space="preserve">очна, заочна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C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Пререквізити (основні)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D">
            <w:pPr>
              <w:spacing w:line="246.99999999999994" w:lineRule="auto"/>
              <w:jc w:val="both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«Теорія інформації, сигнали та процеси в телекомунікаціях та радіотехніці», «Проектування інформаційно-телекомунікаційних та радіотехнічних систем та мереж», «Системи комутації та розподілу інформації» та «Інформаційно-телекомунікаційні мережі авіаційного транспорту»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F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Пореквізити (основні)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0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«Захист інформації в інформаційно-телекомунікційних системах критичних інфраструктур» та «Системи телерадіомовлення та мультимедійні мережі нового покоління»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2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Інформаційне забезпечення</w:t>
            </w:r>
          </w:p>
          <w:p w:rsidR="00000000" w:rsidDel="00000000" w:rsidP="00000000" w:rsidRDefault="00000000" w:rsidRPr="00000000" w14:paraId="00000043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(з репозитарію, фонду НТБ НАУ тощо)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4">
            <w:pPr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Голь В.Д., Ірха М.С. Телекомунікаційні та інформаційні мережі: навчальний посібник. Київ: ІСЗЗІ КПІ ім. Ігоря Сікорського, 2021. 250 с.</w:t>
            </w:r>
          </w:p>
          <w:p w:rsidR="00000000" w:rsidDel="00000000" w:rsidP="00000000" w:rsidRDefault="00000000" w:rsidRPr="00000000" w14:paraId="00000045">
            <w:pPr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Anatol Badach</w:t>
              </w:r>
            </w:hyperlink>
            <w:r w:rsidDel="00000000" w:rsidR="00000000" w:rsidRPr="00000000">
              <w:rPr>
                <w:rtl w:val="0"/>
              </w:rPr>
              <w:t xml:space="preserve">. Voice over IP - Die Technik: Grundlagen, Protokolle, Anwendungen, Migration, Sicherheit, Notrufdienste, Videotelefonie. </w:t>
            </w: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Carl Hanser Verlag GmbH &amp; Co. KG; 5., überarbeitete und erweiterte Edition 2022</w:t>
            </w:r>
            <w:r w:rsidDel="00000000" w:rsidR="00000000" w:rsidRPr="00000000">
              <w:rPr>
                <w:rtl w:val="0"/>
              </w:rPr>
              <w:t xml:space="preserve">. – 655 s.</w:t>
            </w:r>
          </w:p>
          <w:p w:rsidR="00000000" w:rsidDel="00000000" w:rsidP="00000000" w:rsidRDefault="00000000" w:rsidRPr="00000000" w14:paraId="00000046">
            <w:pPr>
              <w:ind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Сторчак К.П., Ткаленко О.М., Маркіна О.А. Технологія VoIP. Навч. посібник, підготовлено для студентів вищих навчальних закладів – Київ: ДУТ, 2018. – 120с.</w:t>
            </w:r>
          </w:p>
          <w:p w:rsidR="00000000" w:rsidDel="00000000" w:rsidP="00000000" w:rsidRDefault="00000000" w:rsidRPr="00000000" w14:paraId="00000047">
            <w:pPr>
              <w:ind w:firstLine="709"/>
              <w:jc w:val="both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4 Смірнов, О. А. Інформаційна безпека в комп'ютерних мережах / О. А. Смірнов. – Кропивницький, 2020. – 295 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9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Локація та матеріально-технічне забезпечення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A">
            <w:pPr>
              <w:spacing w:line="246.99999999999994" w:lineRule="auto"/>
              <w:ind w:firstLine="42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3-й корпус Національного авіаційного університету, лабораторії та комп’ютерні класи кафедри телекомунікаційних та радіоелектронних систем Факультету аеронавігації, електроніки та телекомунікацій.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C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Семестровий контроль, екзаменаційна методика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D">
            <w:pPr>
              <w:spacing w:line="246.99999999999994" w:lineRule="auto"/>
              <w:ind w:firstLine="425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Диференційований залік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(денна форма навчання – у сьомому семестрі, заочна форма навчання – у восьмому семестрі).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4F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Кафедра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50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телекомунікаційних та радіоелектронних систем (ТКРС)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52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Факультет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53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аеронавігації, електроніки та телекомунікацій (ФАЕТ)</w:t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55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Викладач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6.99999999999994" w:lineRule="auto"/>
              <w:ind w:left="-108" w:right="-108" w:firstLine="0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</w:rPr>
              <w:drawing>
                <wp:inline distB="0" distT="0" distL="0" distR="0">
                  <wp:extent cx="993584" cy="1628952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84" cy="1628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57">
            <w:pPr>
              <w:spacing w:line="246.99999999999994" w:lineRule="auto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Антонов Веніамін Валерійович</w:t>
            </w:r>
          </w:p>
          <w:p w:rsidR="00000000" w:rsidDel="00000000" w:rsidP="00000000" w:rsidRDefault="00000000" w:rsidRPr="00000000" w14:paraId="00000058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Посада: </w:t>
            </w:r>
            <w:r w:rsidDel="00000000" w:rsidR="00000000" w:rsidRPr="00000000">
              <w:rPr>
                <w:rtl w:val="0"/>
              </w:rPr>
              <w:t xml:space="preserve">доцент кафедри ТКРС ФАЕТ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6.99999999999994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Науковий ступінь: </w:t>
            </w:r>
            <w:r w:rsidDel="00000000" w:rsidR="00000000" w:rsidRPr="00000000">
              <w:rPr>
                <w:rtl w:val="0"/>
              </w:rPr>
              <w:t xml:space="preserve">кандидат технічних наук</w:t>
            </w:r>
          </w:p>
          <w:p w:rsidR="00000000" w:rsidDel="00000000" w:rsidP="00000000" w:rsidRDefault="00000000" w:rsidRPr="00000000" w14:paraId="0000005A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Вчене звання: </w:t>
            </w:r>
            <w:r w:rsidDel="00000000" w:rsidR="00000000" w:rsidRPr="00000000">
              <w:rPr>
                <w:rtl w:val="0"/>
              </w:rPr>
              <w:t xml:space="preserve">доцент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Профіль викладача: </w:t>
            </w:r>
            <w:hyperlink r:id="rId1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https://lib.nau.edu.ua/naukpraci/teacher.php?id=11433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Тел.: </w:t>
            </w:r>
            <w:r w:rsidDel="00000000" w:rsidR="00000000" w:rsidRPr="00000000">
              <w:rPr>
                <w:rtl w:val="0"/>
              </w:rPr>
              <w:t xml:space="preserve">+38 (044) 406-73-92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6.99999999999994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veniamin.antonov@npp.nau.edu.ua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6.99999999999994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Робоче місце: </w:t>
            </w:r>
            <w:r w:rsidDel="00000000" w:rsidR="00000000" w:rsidRPr="00000000">
              <w:rPr>
                <w:rtl w:val="0"/>
              </w:rPr>
              <w:t xml:space="preserve">кімн. 3.205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5F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Оригінальність навчальної дисципліни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60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Дисципліна розроблена на основі класичних літературних джерел, наукових та навчально-методичних праць викладача з урахуванням фокусу та особливостей ОПП.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62">
            <w:pPr>
              <w:spacing w:line="246.9999999999999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Лінк на дисципліну</w:t>
            </w:r>
          </w:p>
        </w:tc>
        <w:tc>
          <w:tcPr>
            <w:gridSpan w:val="2"/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63">
            <w:pPr>
              <w:spacing w:line="246.99999999999994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Google Classroom для здобувачів вищої освіти та слухачів, які вивчають дисципліну.</w:t>
            </w:r>
          </w:p>
        </w:tc>
      </w:tr>
    </w:tbl>
    <w:p w:rsidR="00000000" w:rsidDel="00000000" w:rsidP="00000000" w:rsidRDefault="00000000" w:rsidRPr="00000000" w14:paraId="00000065">
      <w:pPr>
        <w:jc w:val="both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512B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0" w:customStyle="1">
    <w:name w:val="СтильГлавный"/>
    <w:basedOn w:val="a1"/>
    <w:link w:val="a5"/>
    <w:qFormat w:val="1"/>
    <w:rsid w:val="00AB3DA1"/>
    <w:pPr>
      <w:keepNext w:val="1"/>
      <w:keepLines w:val="1"/>
      <w:numPr>
        <w:numId w:val="1"/>
      </w:numPr>
      <w:tabs>
        <w:tab w:val="left" w:pos="490"/>
      </w:tabs>
      <w:outlineLvl w:val="0"/>
    </w:pPr>
    <w:rPr>
      <w:b w:val="1"/>
      <w:bCs w:val="1"/>
      <w:szCs w:val="28"/>
      <w:lang w:eastAsia="en-US" w:val="en-US"/>
    </w:rPr>
  </w:style>
  <w:style w:type="character" w:styleId="a5" w:customStyle="1">
    <w:name w:val="СтильГлавный Знак"/>
    <w:basedOn w:val="a2"/>
    <w:link w:val="a0"/>
    <w:rsid w:val="00AB3DA1"/>
    <w:rPr>
      <w:rFonts w:ascii="Times New Roman" w:cs="Times New Roman" w:hAnsi="Times New Roman"/>
      <w:b w:val="1"/>
      <w:bCs w:val="1"/>
      <w:color w:val="000000"/>
      <w:sz w:val="28"/>
      <w:szCs w:val="28"/>
    </w:rPr>
  </w:style>
  <w:style w:type="paragraph" w:styleId="a" w:customStyle="1">
    <w:name w:val="Диплом"/>
    <w:basedOn w:val="a1"/>
    <w:link w:val="a6"/>
    <w:autoRedefine w:val="1"/>
    <w:qFormat w:val="1"/>
    <w:rsid w:val="00FF79DD"/>
    <w:pPr>
      <w:numPr>
        <w:numId w:val="2"/>
      </w:numPr>
    </w:pPr>
    <w:rPr>
      <w:rFonts w:cs="Arial"/>
      <w:b w:val="1"/>
      <w:bCs w:val="1"/>
      <w:szCs w:val="17"/>
    </w:rPr>
  </w:style>
  <w:style w:type="character" w:styleId="a6" w:customStyle="1">
    <w:name w:val="Диплом Знак"/>
    <w:basedOn w:val="a2"/>
    <w:link w:val="a"/>
    <w:rsid w:val="00FF79DD"/>
    <w:rPr>
      <w:rFonts w:ascii="Times New Roman" w:cs="Arial" w:hAnsi="Times New Roman"/>
      <w:b w:val="1"/>
      <w:bCs w:val="1"/>
      <w:color w:val="000000"/>
      <w:sz w:val="28"/>
      <w:szCs w:val="17"/>
      <w:lang w:eastAsia="de-DE" w:val="de-DE"/>
    </w:rPr>
  </w:style>
  <w:style w:type="paragraph" w:styleId="a7" w:customStyle="1">
    <w:name w:val="Самый обычный"/>
    <w:basedOn w:val="a1"/>
    <w:autoRedefine w:val="1"/>
    <w:qFormat w:val="1"/>
    <w:rsid w:val="00FF79DD"/>
  </w:style>
  <w:style w:type="paragraph" w:styleId="Diplom" w:customStyle="1">
    <w:name w:val="Diplom"/>
    <w:basedOn w:val="a1"/>
    <w:link w:val="Diplom0"/>
    <w:autoRedefine w:val="1"/>
    <w:qFormat w:val="1"/>
    <w:rsid w:val="000F402A"/>
    <w:pPr>
      <w:shd w:color="auto" w:fill="ffffff" w:val="clear"/>
    </w:pPr>
    <w:rPr>
      <w:szCs w:val="20"/>
      <w:lang w:eastAsia="en-US" w:val="en-US"/>
    </w:rPr>
  </w:style>
  <w:style w:type="character" w:styleId="Diplom0" w:customStyle="1">
    <w:name w:val="Diplom Знак"/>
    <w:basedOn w:val="a2"/>
    <w:link w:val="Diplom"/>
    <w:rsid w:val="000F402A"/>
    <w:rPr>
      <w:rFonts w:ascii="Times New Roman" w:cs="Times New Roman" w:eastAsia="Times New Roman" w:hAnsi="Times New Roman"/>
      <w:sz w:val="28"/>
      <w:szCs w:val="20"/>
      <w:shd w:color="auto" w:fill="ffffff" w:val="clear"/>
    </w:rPr>
  </w:style>
  <w:style w:type="paragraph" w:styleId="a8">
    <w:name w:val="header"/>
    <w:basedOn w:val="a1"/>
    <w:link w:val="a9"/>
    <w:rsid w:val="00512BFF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2"/>
    <w:link w:val="a8"/>
    <w:rsid w:val="00512BFF"/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character" w:styleId="aa">
    <w:name w:val="Hyperlink"/>
    <w:rsid w:val="00512BFF"/>
    <w:rPr>
      <w:color w:val="0000ff"/>
      <w:u w:val="single"/>
    </w:rPr>
  </w:style>
  <w:style w:type="character" w:styleId="ab">
    <w:name w:val="Unresolved Mention"/>
    <w:basedOn w:val="a2"/>
    <w:uiPriority w:val="99"/>
    <w:semiHidden w:val="1"/>
    <w:unhideWhenUsed w:val="1"/>
    <w:rsid w:val="00C518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eniamin.antonov@npp.nau.edu.ua" TargetMode="External"/><Relationship Id="rId10" Type="http://schemas.openxmlformats.org/officeDocument/2006/relationships/hyperlink" Target="https://lib.nau.edu.ua/naukpraci/teacher.php?id=11433" TargetMode="External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www.amazon.de/s/ref=dp_byline_sr_book_1?ie=UTF8&amp;field-author=Anatol+Badach&amp;text=Anatol+Badach&amp;sort=relevancerank&amp;search-alias=books-d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CJt+ZepDVVomyIm1FT9jgNG7A==">CgMxLjA4AHIhMXJjUlZMYlNhOFRVZnBMc2JlVnN2U3paQm5HeWZsR2dM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2023-12-08T10:45:00Z</dcterms:created>
  <dc:creator>Ven Antonov</dc:creator>
</cp:coreProperties>
</file>